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sz w:val="34"/>
          <w:szCs w:val="34"/>
        </w:rPr>
      </w:pPr>
      <w:bookmarkStart w:colFirst="0" w:colLast="0" w:name="_fa7w42s5fw37" w:id="0"/>
      <w:bookmarkEnd w:id="0"/>
      <w:r w:rsidDel="00000000" w:rsidR="00000000" w:rsidRPr="00000000">
        <w:rPr>
          <w:rFonts w:ascii="Times New Roman" w:cs="Times New Roman" w:eastAsia="Times New Roman" w:hAnsi="Times New Roman"/>
          <w:sz w:val="34"/>
          <w:szCs w:val="34"/>
          <w:rtl w:val="0"/>
        </w:rPr>
        <w:t xml:space="preserve">The Strategic Plan of the Information Technology Deanship - King Abdulaziz University - Saudi Arabia</w:t>
      </w:r>
      <w:r w:rsidDel="00000000" w:rsidR="00000000" w:rsidRPr="00000000">
        <w:rPr>
          <w:rtl w:val="0"/>
        </w:rPr>
      </w:r>
    </w:p>
    <w:p w:rsidR="00000000" w:rsidDel="00000000" w:rsidP="00000000" w:rsidRDefault="00000000" w:rsidRPr="00000000" w14:paraId="00000002">
      <w:pPr>
        <w:keepNext w:val="1"/>
        <w:spacing w:line="300" w:lineRule="auto"/>
        <w:ind w:right="2"/>
        <w:jc w:val="cente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Wagdy Al-Jedibi</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King Abdul Aziz University, Jeddah, Saudi Arabia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waljedaibi@kau.edu.sa</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corresponding author</w:t>
      </w:r>
    </w:p>
    <w:p w:rsidR="00000000" w:rsidDel="00000000" w:rsidP="00000000" w:rsidRDefault="00000000" w:rsidRPr="00000000" w14:paraId="00000006">
      <w:pPr>
        <w:pageBreakBefore w:val="0"/>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16"/>
          <w:szCs w:val="16"/>
        </w:rPr>
      </w:pPr>
      <w:bookmarkStart w:colFirst="0" w:colLast="0" w:name="_gjdgxs" w:id="1"/>
      <w:bookmarkEnd w:id="1"/>
      <w:r w:rsidDel="00000000" w:rsidR="00000000" w:rsidRPr="00000000">
        <w:rPr>
          <w:rFonts w:ascii="Times New Roman" w:cs="Times New Roman" w:eastAsia="Times New Roman" w:hAnsi="Times New Roman"/>
          <w:sz w:val="16"/>
          <w:szCs w:val="16"/>
          <w:rtl w:val="0"/>
        </w:rPr>
        <w:t xml:space="preserve">(Received: January 12, 2021; Revised: March 25, 2021; Accepted: May 20, 2022; Available online: December 1, 2022)</w:t>
      </w:r>
    </w:p>
    <w:p w:rsidR="00000000" w:rsidDel="00000000" w:rsidP="00000000" w:rsidRDefault="00000000" w:rsidRPr="00000000" w14:paraId="00000008">
      <w:pPr>
        <w:keepNext w:val="1"/>
        <w:keepLines w:val="0"/>
        <w:pageBreakBefore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Abstract</w:t>
      </w:r>
    </w:p>
    <w:p w:rsidR="00000000" w:rsidDel="00000000" w:rsidP="00000000" w:rsidRDefault="00000000" w:rsidRPr="00000000" w14:paraId="00000009">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IT has now become an integral part of modern university life to the extent that various IT institutions are required to act as partners within the academic institutions rather than just providing them with secure and reliable IT infrastructure and services.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Thus, in light of these successive accelerating developments, and keeping pace with the vision of the Kingdom of Saudi Arabia 2030 in relation to developing the higher education system that focuses on granting Saudi universities a great deal of administrative and financial independence, the Deanship of Information Technology at King Abdulaziz University works hard to activate its leading role in providing modern technical services for various sectors inside and outside the university through framing and preparing a new strategic vision in line with the changes taking place in the work environment at the university.</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Essentially, this new vision takes into account the fact that King Abdulaziz University is a research and educational institution at a global level with global interests and with constantly increasing technological environment demands that are vital to support its overall competitiveness and success.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By the end of this article, the willingness of our community members to meet and engage in a deep and comprehensive discussion of the strategic strengths, weaknesses, opportunities and threats of the IT environment “based on the use of the SWOT approach” is in itself a solid evidence of our community’s excellent ability to work together towards achieving a set of common ambitious goals.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Ultimately, the process of planning and designing the strategic plan allowed participants from all over the campus to interact with each other and reach a common understanding of the university’s technological goals and the strategic actions required to achieve those goals namely in relation to supporting innovation in research and education, helping people use technology more effectively, and providing secure services and systems for all the university environment components.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sz w:val="18"/>
          <w:szCs w:val="18"/>
          <w:rtl w:val="0"/>
        </w:rPr>
        <w:t xml:space="preserve">Personality Traits, Gender, Customer Knowledge Preference</w:t>
      </w:r>
      <w:r w:rsidDel="00000000" w:rsidR="00000000" w:rsidRPr="00000000">
        <w:rPr>
          <w:rtl w:val="0"/>
        </w:rPr>
      </w:r>
    </w:p>
    <w:p w:rsidR="00000000" w:rsidDel="00000000" w:rsidP="00000000" w:rsidRDefault="00000000" w:rsidRPr="00000000" w14:paraId="0000000B">
      <w:pPr>
        <w:pStyle w:val="Heading1"/>
        <w:keepNext w:val="1"/>
        <w:keepLines w:val="1"/>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80" w:before="360" w:line="240" w:lineRule="auto"/>
        <w:ind w:left="360" w:right="0" w:hanging="360"/>
        <w:jc w:val="left"/>
      </w:pPr>
      <w:r w:rsidDel="00000000" w:rsidR="00000000" w:rsidRPr="00000000">
        <w:rPr>
          <w:sz w:val="22"/>
          <w:szCs w:val="22"/>
          <w:rtl w:val="0"/>
        </w:rPr>
        <w:t xml:space="preserve">Introduction</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Higher education is witnessing an unprecedented demand for technologies that improve the ways of producing, managing, disseminating, accessing and securing knowledge. In this regard, the effective and equitable use of these technologies must be ensured at all levels in King Abdulaziz University. In fact, the rapid and innovative ways in which people communicate and collaborate locally, nationally and internationally are constantly changing the way technologies are designed, acquired, and delivered. Henceforth, it is critical that we continue to lead by utilizing the best practices and capabilities of new information and communication technologies in order to ensure the quality and high standards of our university academic and management practices. This speedy change means that KAU must ramp up, adapt, and manage service delivery in order to meet these evolving demands [1].</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other hand, King Abdulaziz University highly believes that in our technologically advanced and socially intertwined world, contribution and engagement should include the strategic use of technology to enhance the educational and social experiences of its students and prepare them for real life, work and citizenship in the twenty-first century. Therefore, and through the implementation of the IT Strategic Plan, we will explore the technology tools, practices, and resources that must be provided and supported to enhance the intellectual, professional and social development of our students, including giving them the technological skills and ethical practices necessary for their career success. Based on this vision and in line with the modern economic trends of the Kingdom of Saudi Arabia under the 2030 Vision, the strategic plan of the Deanship of Information Technology at King Abdulaziz University is a comprehensive process in which resources and capabilities are mobilized to work together in a coordinated manner to make decisions and define the development strategic goals, as well as  the paths that should be taken to achieve the university’s mission. Basically, this mission is concerned with defining development priorities, setting an implementation plan that aims at achieving change, securing requirements, addressing challenges, and overcoming the problems and difficulties that the plan is expected to face upon its implementation.</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Among the most important objectives of the strategic plan is that it lays the foundations and resources needed to achieve the goals, and outlines the course of the plan’s sequence, the areas in which it will work, and the detailed programs and projects that it will work on. The preparation of the strategic plan of the Deanship of Information Technology starts with collecting and analyzing information and extracting a clear vision about the strategic factors in the internal and external environments that will greatly affect the activities and technical services that the Deanship will provide over the next two decades [2].</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preparing the strategic plan, all stakeholders are involved in its development through the workshop that is being held because of our strong belief in its clear impact in reaching more objective plans and in the ability to achieve the desired goals. Indeed, the fact that the strategic plan stems from them would help raise their morale. After defining the general strategic plan of the Deanship of Information Technology, it will be transformed into an operational plan for a period of five years in which the necessary development projects are identified, each project budget is estimated, and implementation responsibilities and requirements are determined. In addition, it sets a time plan for the implementation and follow-up mechanisms. The consulting team will participate in following up the implementation of the operational plan to ensure that it achieves the set strategic objectives, and then make the appropriate adjustments when needed. This project will be implemented through a main workshop and subsequent successive meetings with the strategic planning team appointed by the Deanship to set the strategic plan, design the operational projects, and follow up their implementation.</w:t>
      </w:r>
      <w:r w:rsidDel="00000000" w:rsidR="00000000" w:rsidRPr="00000000">
        <w:rPr>
          <w:rtl w:val="0"/>
        </w:rPr>
      </w:r>
    </w:p>
    <w:p w:rsidR="00000000" w:rsidDel="00000000" w:rsidP="00000000" w:rsidRDefault="00000000" w:rsidRPr="00000000" w14:paraId="00000010">
      <w:pPr>
        <w:pStyle w:val="Heading1"/>
        <w:keepLines w:val="1"/>
        <w:pageBreakBefore w:val="0"/>
        <w:widowControl w:val="1"/>
        <w:numPr>
          <w:ilvl w:val="0"/>
          <w:numId w:val="8"/>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sz w:val="22"/>
          <w:szCs w:val="22"/>
          <w:rtl w:val="0"/>
        </w:rPr>
        <w:t xml:space="preserve">Literature Review</w:t>
      </w:r>
    </w:p>
    <w:p w:rsidR="00000000" w:rsidDel="00000000" w:rsidP="00000000" w:rsidRDefault="00000000" w:rsidRPr="00000000" w14:paraId="00000011">
      <w:pPr>
        <w:pStyle w:val="Heading2"/>
        <w:tabs>
          <w:tab w:val="left" w:pos="454"/>
        </w:tabs>
        <w:spacing w:after="60" w:before="120" w:line="240" w:lineRule="auto"/>
        <w:jc w:val="both"/>
        <w:rPr/>
      </w:pPr>
      <w:bookmarkStart w:colFirst="0" w:colLast="0" w:name="_piy4ikgbsb3l" w:id="2"/>
      <w:bookmarkEnd w:id="2"/>
      <w:r w:rsidDel="00000000" w:rsidR="00000000" w:rsidRPr="00000000">
        <w:rPr>
          <w:rFonts w:ascii="Times New Roman" w:cs="Times New Roman" w:eastAsia="Times New Roman" w:hAnsi="Times New Roman"/>
          <w:rtl w:val="0"/>
        </w:rPr>
        <w:t xml:space="preserve">2.1.</w:t>
        <w:tab/>
        <w:tab/>
      </w:r>
      <w:r w:rsidDel="00000000" w:rsidR="00000000" w:rsidRPr="00000000">
        <w:rPr>
          <w:rFonts w:ascii="Times New Roman" w:cs="Times New Roman" w:eastAsia="Times New Roman" w:hAnsi="Times New Roman"/>
          <w:rtl w:val="0"/>
        </w:rPr>
        <w:t xml:space="preserve">The Elements of Strategic Planning</w:t>
      </w: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strategic plan of the Deanship includes the following elements that are prepared according to the mechanisms specified in this guide, as shown below:</w:t>
      </w:r>
    </w:p>
    <w:p w:rsidR="00000000" w:rsidDel="00000000" w:rsidP="00000000" w:rsidRDefault="00000000" w:rsidRPr="00000000" w14:paraId="00000013">
      <w:pPr>
        <w:pStyle w:val="Heading2"/>
        <w:tabs>
          <w:tab w:val="left" w:pos="454"/>
        </w:tabs>
        <w:spacing w:after="60" w:before="120" w:line="240" w:lineRule="auto"/>
        <w:jc w:val="both"/>
        <w:rPr/>
      </w:pPr>
      <w:bookmarkStart w:colFirst="0" w:colLast="0" w:name="_4en5x6s0vjsb" w:id="3"/>
      <w:bookmarkEnd w:id="3"/>
      <w:r w:rsidDel="00000000" w:rsidR="00000000" w:rsidRPr="00000000">
        <w:rPr>
          <w:rFonts w:ascii="Times New Roman" w:cs="Times New Roman" w:eastAsia="Times New Roman" w:hAnsi="Times New Roman"/>
          <w:rtl w:val="0"/>
        </w:rPr>
        <w:t xml:space="preserve">2.1.1.</w:t>
        <w:tab/>
      </w:r>
      <w:r w:rsidDel="00000000" w:rsidR="00000000" w:rsidRPr="00000000">
        <w:rPr>
          <w:rFonts w:ascii="Times New Roman" w:cs="Times New Roman" w:eastAsia="Times New Roman" w:hAnsi="Times New Roman"/>
          <w:rtl w:val="0"/>
        </w:rPr>
        <w:t xml:space="preserve">Organizing the Planning Process</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strategic planning process includes foundational steps that begin with preparing/reviewing studies, and then proceeding to define “SMART” goals for the Deanship, on the basis of which a plan is drawn up to achieve these goals within a specific time frame, which is the strategic scope of this plan. Next, comes the step of designing the plan and programming its operations into initiatives with specific goals (and objectives). This includes programs and projects that require the mobilization of resources and directing them towards producing a realistic and achievable strategic plan. All these tasks are in line with the modern economic trends of the Kingdom of Saudi Arabia under the 2030 Vision and the National Transformation Program 2020, and in preparation for the upcoming development of the higher education system, which will give Saudi universities a quite large degree of administrative and financial independence. In later stages, the responsibility and tasks of the Deanship would shift from preparation to following up the implementation of the "strategic plan" [5]. This is performed through evaluating the strategic plan successes, addressing its failures, ensuring the adherence to its path and timeline at the level of each stage and project program, monitoring any deviations that may occur, making the required corrections, and then analyzing and considering the lessons learned from them.</w:t>
      </w:r>
    </w:p>
    <w:p w:rsidR="00000000" w:rsidDel="00000000" w:rsidP="00000000" w:rsidRDefault="00000000" w:rsidRPr="00000000" w14:paraId="00000015">
      <w:pPr>
        <w:pStyle w:val="Heading2"/>
        <w:tabs>
          <w:tab w:val="left" w:pos="454"/>
        </w:tabs>
        <w:spacing w:after="60" w:before="120" w:line="240" w:lineRule="auto"/>
        <w:jc w:val="both"/>
        <w:rPr/>
      </w:pPr>
      <w:bookmarkStart w:colFirst="0" w:colLast="0" w:name="_v8zs7i8bfyds" w:id="4"/>
      <w:bookmarkEnd w:id="4"/>
      <w:r w:rsidDel="00000000" w:rsidR="00000000" w:rsidRPr="00000000">
        <w:rPr>
          <w:rFonts w:ascii="Times New Roman" w:cs="Times New Roman" w:eastAsia="Times New Roman" w:hAnsi="Times New Roman"/>
          <w:rtl w:val="0"/>
        </w:rPr>
        <w:t xml:space="preserve">2.1.2.</w:t>
        <w:tab/>
      </w:r>
      <w:r w:rsidDel="00000000" w:rsidR="00000000" w:rsidRPr="00000000">
        <w:rPr>
          <w:rFonts w:ascii="Times New Roman" w:cs="Times New Roman" w:eastAsia="Times New Roman" w:hAnsi="Times New Roman"/>
          <w:rtl w:val="0"/>
        </w:rPr>
        <w:t xml:space="preserve">The Initial Steps</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preparation for the strategic planning process and the development of the plan, with its initiatives and practical activities, is carried out in two phases:</w:t>
      </w:r>
    </w:p>
    <w:p w:rsidR="00000000" w:rsidDel="00000000" w:rsidP="00000000" w:rsidRDefault="00000000" w:rsidRPr="00000000" w14:paraId="00000017">
      <w:pPr>
        <w:numPr>
          <w:ilvl w:val="0"/>
          <w:numId w:val="7"/>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stage of forming a planning framework that organizes the work of the Deanship and its relations with all university authorities.</w:t>
      </w:r>
    </w:p>
    <w:p w:rsidR="00000000" w:rsidDel="00000000" w:rsidP="00000000" w:rsidRDefault="00000000" w:rsidRPr="00000000" w14:paraId="00000018">
      <w:pPr>
        <w:numPr>
          <w:ilvl w:val="0"/>
          <w:numId w:val="7"/>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stage of selecting the working team, who will be responsible for preparing the Deanship's strategic plan, following up on its im</w:t>
      </w:r>
      <w:r w:rsidDel="00000000" w:rsidR="00000000" w:rsidRPr="00000000">
        <w:rPr>
          <w:rFonts w:ascii="Times New Roman" w:cs="Times New Roman" w:eastAsia="Times New Roman" w:hAnsi="Times New Roman"/>
          <w:rtl w:val="0"/>
        </w:rPr>
        <w:t xml:space="preserve">plementation and evaluation, and monitoring deviations and the need for their correction.</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steps also include the implementation of the following:</w:t>
      </w:r>
    </w:p>
    <w:p w:rsidR="00000000" w:rsidDel="00000000" w:rsidP="00000000" w:rsidRDefault="00000000" w:rsidRPr="00000000" w14:paraId="0000001A">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Establishing an operating system for the unit that defines the roles of the planners and organizes their interventions throughout the course of the plan.</w:t>
      </w:r>
    </w:p>
    <w:p w:rsidR="00000000" w:rsidDel="00000000" w:rsidP="00000000" w:rsidRDefault="00000000" w:rsidRPr="00000000" w14:paraId="0000001B">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the working team on work planning skills.</w:t>
      </w:r>
    </w:p>
    <w:p w:rsidR="00000000" w:rsidDel="00000000" w:rsidP="00000000" w:rsidRDefault="00000000" w:rsidRPr="00000000" w14:paraId="0000001C">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Informing the executive leadership about what the plan is and their role in it either in terms of planning or implementation.</w:t>
      </w:r>
    </w:p>
    <w:p w:rsidR="00000000" w:rsidDel="00000000" w:rsidP="00000000" w:rsidRDefault="00000000" w:rsidRPr="00000000" w14:paraId="0000001D">
      <w:pPr>
        <w:pStyle w:val="Heading1"/>
        <w:keepLines w:val="1"/>
        <w:widowControl w:val="1"/>
        <w:numPr>
          <w:ilvl w:val="0"/>
          <w:numId w:val="8"/>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rPr>
          <w:rFonts w:ascii="Times New Roman" w:cs="Times New Roman" w:eastAsia="Times New Roman" w:hAnsi="Times New Roman"/>
          <w:b w:val="1"/>
        </w:rPr>
      </w:pPr>
      <w:bookmarkStart w:colFirst="0" w:colLast="0" w:name="_otuw7yvmi94p" w:id="5"/>
      <w:bookmarkEnd w:id="5"/>
      <w:r w:rsidDel="00000000" w:rsidR="00000000" w:rsidRPr="00000000">
        <w:rPr>
          <w:sz w:val="22"/>
          <w:szCs w:val="22"/>
          <w:rtl w:val="0"/>
        </w:rPr>
        <w:t xml:space="preserve">Methodology</w:t>
      </w:r>
    </w:p>
    <w:p w:rsidR="00000000" w:rsidDel="00000000" w:rsidP="00000000" w:rsidRDefault="00000000" w:rsidRPr="00000000" w14:paraId="0000001E">
      <w:pPr>
        <w:pStyle w:val="Heading2"/>
        <w:tabs>
          <w:tab w:val="left" w:pos="454"/>
        </w:tabs>
        <w:spacing w:after="60" w:before="120" w:line="240" w:lineRule="auto"/>
        <w:jc w:val="both"/>
        <w:rPr/>
      </w:pPr>
      <w:bookmarkStart w:colFirst="0" w:colLast="0" w:name="_1ce80sqt3ywy" w:id="6"/>
      <w:bookmarkEnd w:id="6"/>
      <w:r w:rsidDel="00000000" w:rsidR="00000000" w:rsidRPr="00000000">
        <w:rPr>
          <w:rFonts w:ascii="Times New Roman" w:cs="Times New Roman" w:eastAsia="Times New Roman" w:hAnsi="Times New Roman"/>
          <w:rtl w:val="0"/>
        </w:rPr>
        <w:t xml:space="preserve">3.1.</w:t>
        <w:tab/>
        <w:tab/>
      </w:r>
      <w:r w:rsidDel="00000000" w:rsidR="00000000" w:rsidRPr="00000000">
        <w:rPr>
          <w:rFonts w:ascii="Times New Roman" w:cs="Times New Roman" w:eastAsia="Times New Roman" w:hAnsi="Times New Roman"/>
          <w:rtl w:val="0"/>
        </w:rPr>
        <w:t xml:space="preserve">The Mechanism of Preparing the Plan</w:t>
      </w: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planning process can be divided into five stages that reflect the development of the strategic plan through a general future vision as seen by the Deanship, as well as an applied work that seeks to achieve the goals of this vision as follows:</w:t>
      </w:r>
    </w:p>
    <w:p w:rsidR="00000000" w:rsidDel="00000000" w:rsidP="00000000" w:rsidRDefault="00000000" w:rsidRPr="00000000" w14:paraId="00000020">
      <w:pPr>
        <w:numPr>
          <w:ilvl w:val="0"/>
          <w:numId w:val="3"/>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planning process starts with foundational stages centered around the need to set a clear vision for the future of the Deanship, its reality, and prospects for its future work based on the university’s strategic plan.</w:t>
      </w:r>
    </w:p>
    <w:p w:rsidR="00000000" w:rsidDel="00000000" w:rsidP="00000000" w:rsidRDefault="00000000" w:rsidRPr="00000000" w14:paraId="00000021">
      <w:pPr>
        <w:numPr>
          <w:ilvl w:val="0"/>
          <w:numId w:val="3"/>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next stage of the planning process includes building the starting points of the strategic plan. It revolves around identifying the reality from which the plan will be launched to achieve the goals of the strategic vision of the Deanship within a certain time frame.  This would include the analysis of the internal and external environments of the Deanship that comprises both the analysis of technical conditions and the analysis of the relevant parties, to come up with the four-way analysis of the strengths, weaknesses, opportunities and challenges.</w:t>
      </w:r>
    </w:p>
    <w:p w:rsidR="00000000" w:rsidDel="00000000" w:rsidP="00000000" w:rsidRDefault="00000000" w:rsidRPr="00000000" w14:paraId="00000022">
      <w:pPr>
        <w:numPr>
          <w:ilvl w:val="0"/>
          <w:numId w:val="3"/>
        </w:numPr>
        <w:spacing w:after="0" w:lineRule="auto"/>
        <w:ind w:left="720" w:hanging="360"/>
        <w:jc w:val="both"/>
        <w:rPr>
          <w:rFonts w:ascii="Noto Sans Symbols" w:cs="Noto Sans Symbols" w:eastAsia="Noto Sans Symbols" w:hAnsi="Noto Sans Symbols"/>
        </w:rPr>
      </w:pPr>
      <w:r w:rsidDel="00000000" w:rsidR="00000000" w:rsidRPr="00000000">
        <w:rPr>
          <w:rFonts w:ascii="Times New Roman" w:cs="Times New Roman" w:eastAsia="Times New Roman" w:hAnsi="Times New Roman"/>
          <w:rtl w:val="0"/>
        </w:rPr>
        <w:t xml:space="preserve">The following step is called defining the strategic and achievable goals within the timeframe of the plan, and then subdividing it into a set of sub-goals that define the parameters of the way to reach, stage by stage, the achievement of the planned strategic goals. The operational objectives are prioritized through two criteria: </w:t>
      </w:r>
      <w:r w:rsidDel="00000000" w:rsidR="00000000" w:rsidRPr="00000000">
        <w:rPr>
          <w:rFonts w:ascii="Times New Roman" w:cs="Times New Roman" w:eastAsia="Times New Roman" w:hAnsi="Times New Roman"/>
          <w:b w:val="1"/>
          <w:rtl w:val="0"/>
        </w:rPr>
        <w:t xml:space="preserve">(1)</w:t>
      </w:r>
      <w:r w:rsidDel="00000000" w:rsidR="00000000" w:rsidRPr="00000000">
        <w:rPr>
          <w:rFonts w:ascii="Times New Roman" w:cs="Times New Roman" w:eastAsia="Times New Roman" w:hAnsi="Times New Roman"/>
          <w:rtl w:val="0"/>
        </w:rPr>
        <w:t xml:space="preserve"> the impact of the objective and </w:t>
      </w: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rtl w:val="0"/>
        </w:rPr>
        <w:t xml:space="preserve"> the ease of its implementation.</w:t>
      </w:r>
    </w:p>
    <w:p w:rsidR="00000000" w:rsidDel="00000000" w:rsidP="00000000" w:rsidRDefault="00000000" w:rsidRPr="00000000" w14:paraId="00000023">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Identifying the method of performance measuring through the preparation of measurement indicators and target values. Therefore, the projects through which the Deanship aspires to achieve the objectives of its strategic plan are identified, and a mechanism is established to monitor the implementation, which includes setting performance indicators and metrics to follow up on the progress of the plan and make the needed adjustments, corrections and improvements necessary to ensure that it reaches these goals [6-8].</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the basic strategic plan, it is necessary to develop complementary plans to support the basic plan, including an institutional support plan that comprises developing the organizational structure and institutional work methods in a manner that is appropriate and/or helps facilitate the implementation of the plan.</w:t>
      </w:r>
    </w:p>
    <w:p w:rsidR="00000000" w:rsidDel="00000000" w:rsidP="00000000" w:rsidRDefault="00000000" w:rsidRPr="00000000" w14:paraId="00000025">
      <w:pPr>
        <w:pStyle w:val="Heading2"/>
        <w:tabs>
          <w:tab w:val="left" w:pos="454"/>
        </w:tabs>
        <w:spacing w:after="60" w:before="120" w:line="240" w:lineRule="auto"/>
        <w:jc w:val="both"/>
        <w:rPr/>
      </w:pPr>
      <w:bookmarkStart w:colFirst="0" w:colLast="0" w:name="_33jvsrif3os9" w:id="7"/>
      <w:bookmarkEnd w:id="7"/>
      <w:r w:rsidDel="00000000" w:rsidR="00000000" w:rsidRPr="00000000">
        <w:rPr>
          <w:rFonts w:ascii="Times New Roman" w:cs="Times New Roman" w:eastAsia="Times New Roman" w:hAnsi="Times New Roman"/>
          <w:rtl w:val="0"/>
        </w:rPr>
        <w:t xml:space="preserve">3.2.</w:t>
        <w:tab/>
        <w:tab/>
      </w:r>
      <w:r w:rsidDel="00000000" w:rsidR="00000000" w:rsidRPr="00000000">
        <w:rPr>
          <w:rFonts w:ascii="Times New Roman" w:cs="Times New Roman" w:eastAsia="Times New Roman" w:hAnsi="Times New Roman"/>
          <w:rtl w:val="0"/>
        </w:rPr>
        <w:t xml:space="preserve">The Stages of Strategic Planning</w:t>
      </w: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stages of strategic planning are divided into several sections, where strategic planning depends mainly on the stage of preparation, analysis, implementation, and finally the stage of control. Its detailed elements are as following:</w:t>
      </w:r>
    </w:p>
    <w:p w:rsidR="00000000" w:rsidDel="00000000" w:rsidP="00000000" w:rsidRDefault="00000000" w:rsidRPr="00000000" w14:paraId="00000027">
      <w:pPr>
        <w:pStyle w:val="Heading2"/>
        <w:tabs>
          <w:tab w:val="left" w:pos="454"/>
        </w:tabs>
        <w:spacing w:after="60" w:before="120" w:line="240" w:lineRule="auto"/>
        <w:jc w:val="both"/>
        <w:rPr>
          <w:rFonts w:ascii="Times New Roman" w:cs="Times New Roman" w:eastAsia="Times New Roman" w:hAnsi="Times New Roman"/>
        </w:rPr>
      </w:pPr>
      <w:bookmarkStart w:colFirst="0" w:colLast="0" w:name="_gqtlmvwq1b80" w:id="8"/>
      <w:bookmarkEnd w:id="8"/>
      <w:r w:rsidDel="00000000" w:rsidR="00000000" w:rsidRPr="00000000">
        <w:rPr>
          <w:rFonts w:ascii="Times New Roman" w:cs="Times New Roman" w:eastAsia="Times New Roman" w:hAnsi="Times New Roman"/>
          <w:rtl w:val="0"/>
        </w:rPr>
        <w:t xml:space="preserve">3.2.1.</w:t>
        <w:tab/>
      </w:r>
      <w:r w:rsidDel="00000000" w:rsidR="00000000" w:rsidRPr="00000000">
        <w:rPr>
          <w:rFonts w:ascii="Times New Roman" w:cs="Times New Roman" w:eastAsia="Times New Roman" w:hAnsi="Times New Roman"/>
          <w:rtl w:val="0"/>
        </w:rPr>
        <w:t xml:space="preserve">Definition of the Message</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“message” is what the Deanship aspires to do, and a definition of the frameworks through which it will work to achieve its primary goal within a certain time range (3 to five years).</w:t>
      </w:r>
    </w:p>
    <w:p w:rsidR="00000000" w:rsidDel="00000000" w:rsidP="00000000" w:rsidRDefault="00000000" w:rsidRPr="00000000" w14:paraId="00000029">
      <w:pPr>
        <w:pStyle w:val="Heading2"/>
        <w:tabs>
          <w:tab w:val="left" w:pos="454"/>
        </w:tabs>
        <w:spacing w:after="60" w:before="120" w:line="240" w:lineRule="auto"/>
        <w:jc w:val="both"/>
        <w:rPr>
          <w:rFonts w:ascii="Times New Roman" w:cs="Times New Roman" w:eastAsia="Times New Roman" w:hAnsi="Times New Roman"/>
        </w:rPr>
      </w:pPr>
      <w:bookmarkStart w:colFirst="0" w:colLast="0" w:name="_oh3rcnntq683" w:id="9"/>
      <w:bookmarkEnd w:id="9"/>
      <w:r w:rsidDel="00000000" w:rsidR="00000000" w:rsidRPr="00000000">
        <w:rPr>
          <w:rFonts w:ascii="Times New Roman" w:cs="Times New Roman" w:eastAsia="Times New Roman" w:hAnsi="Times New Roman"/>
          <w:rtl w:val="0"/>
        </w:rPr>
        <w:t xml:space="preserve">3.2.2.</w:t>
        <w:tab/>
        <w:t xml:space="preserve">The Content of the Message</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"Message" expresses the purpose of the Deanship and the scope and methods of its work based on three main components:</w:t>
      </w:r>
    </w:p>
    <w:p w:rsidR="00000000" w:rsidDel="00000000" w:rsidP="00000000" w:rsidRDefault="00000000" w:rsidRPr="00000000" w14:paraId="0000002B">
      <w:pPr>
        <w:numPr>
          <w:ilvl w:val="0"/>
          <w:numId w:val="9"/>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 statement, which includes defining the results to be achieved.</w:t>
      </w:r>
    </w:p>
    <w:p w:rsidR="00000000" w:rsidDel="00000000" w:rsidP="00000000" w:rsidRDefault="00000000" w:rsidRPr="00000000" w14:paraId="0000002C">
      <w:pPr>
        <w:numPr>
          <w:ilvl w:val="0"/>
          <w:numId w:val="9"/>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Action Statement, which includes the activities, projects and service programs through which the Deanship is working to achieve its goals, and the scope of these actions (in time, place, etc.).</w:t>
      </w:r>
    </w:p>
    <w:p w:rsidR="00000000" w:rsidDel="00000000" w:rsidP="00000000" w:rsidRDefault="00000000" w:rsidRPr="00000000" w14:paraId="0000002D">
      <w:pPr>
        <w:numPr>
          <w:ilvl w:val="0"/>
          <w:numId w:val="9"/>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Values ​​Statement, which includes a definition of the corporate culture prevailing in the Deanship, and the behavioral standards associated with the employees’ practices.</w:t>
      </w:r>
    </w:p>
    <w:p w:rsidR="00000000" w:rsidDel="00000000" w:rsidP="00000000" w:rsidRDefault="00000000" w:rsidRPr="00000000" w14:paraId="0000002E">
      <w:pPr>
        <w:pStyle w:val="Heading2"/>
        <w:tabs>
          <w:tab w:val="left" w:pos="454"/>
        </w:tabs>
        <w:spacing w:after="60" w:before="120" w:line="240" w:lineRule="auto"/>
        <w:jc w:val="both"/>
        <w:rPr>
          <w:rFonts w:ascii="Times New Roman" w:cs="Times New Roman" w:eastAsia="Times New Roman" w:hAnsi="Times New Roman"/>
        </w:rPr>
      </w:pPr>
      <w:bookmarkStart w:colFirst="0" w:colLast="0" w:name="_besl94eqtwcu" w:id="10"/>
      <w:bookmarkEnd w:id="10"/>
      <w:r w:rsidDel="00000000" w:rsidR="00000000" w:rsidRPr="00000000">
        <w:rPr>
          <w:rFonts w:ascii="Times New Roman" w:cs="Times New Roman" w:eastAsia="Times New Roman" w:hAnsi="Times New Roman"/>
          <w:rtl w:val="0"/>
        </w:rPr>
        <w:t xml:space="preserve">3.2.3.</w:t>
        <w:tab/>
        <w:t xml:space="preserve">Definition of the Vision</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“vision” is a future perspective of the situation that reflects aspirations towards what you want to achieve within a specific and foreseeable timeframe (3 to 5 years). It copes with the modern economic trends of the Kingdom of Saudi Arabia in light of the Saudi 2030 Vision and the National Transformation Program 2020, and in preparation for the upcoming development of the higher education system, which will grant Saudi universities a higher degree of administrative and financial independence.</w:t>
      </w:r>
    </w:p>
    <w:p w:rsidR="00000000" w:rsidDel="00000000" w:rsidP="00000000" w:rsidRDefault="00000000" w:rsidRPr="00000000" w14:paraId="00000030">
      <w:pPr>
        <w:pStyle w:val="Heading2"/>
        <w:tabs>
          <w:tab w:val="left" w:pos="454"/>
        </w:tabs>
        <w:spacing w:after="60" w:before="120" w:line="240" w:lineRule="auto"/>
        <w:jc w:val="both"/>
        <w:rPr>
          <w:rFonts w:ascii="Times New Roman" w:cs="Times New Roman" w:eastAsia="Times New Roman" w:hAnsi="Times New Roman"/>
        </w:rPr>
      </w:pPr>
      <w:bookmarkStart w:colFirst="0" w:colLast="0" w:name="_5d0vn45z7lx5" w:id="11"/>
      <w:bookmarkEnd w:id="11"/>
      <w:r w:rsidDel="00000000" w:rsidR="00000000" w:rsidRPr="00000000">
        <w:rPr>
          <w:rFonts w:ascii="Times New Roman" w:cs="Times New Roman" w:eastAsia="Times New Roman" w:hAnsi="Times New Roman"/>
          <w:rtl w:val="0"/>
        </w:rPr>
        <w:t xml:space="preserve">3.2.4.</w:t>
        <w:tab/>
        <w:t xml:space="preserve">The Content of the Vision</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Building a "vision" requires:</w:t>
      </w:r>
    </w:p>
    <w:p w:rsidR="00000000" w:rsidDel="00000000" w:rsidP="00000000" w:rsidRDefault="00000000" w:rsidRPr="00000000" w14:paraId="00000032">
      <w:pPr>
        <w:numPr>
          <w:ilvl w:val="0"/>
          <w:numId w:val="10"/>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ability to analyze the future based on accurate realistic data.</w:t>
      </w:r>
    </w:p>
    <w:p w:rsidR="00000000" w:rsidDel="00000000" w:rsidP="00000000" w:rsidRDefault="00000000" w:rsidRPr="00000000" w14:paraId="00000033">
      <w:pPr>
        <w:numPr>
          <w:ilvl w:val="0"/>
          <w:numId w:val="10"/>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careful study of the current reality of the Deanship, the services it provides, the tasks under its management, and its development requirements. On the other hand, the founding process needs a clear vision of:</w:t>
      </w:r>
    </w:p>
    <w:p w:rsidR="00000000" w:rsidDel="00000000" w:rsidP="00000000" w:rsidRDefault="00000000" w:rsidRPr="00000000" w14:paraId="00000034">
      <w:pPr>
        <w:numPr>
          <w:ilvl w:val="0"/>
          <w:numId w:val="10"/>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features of the Deanship future that it aspires to reach.</w:t>
      </w:r>
    </w:p>
    <w:p w:rsidR="00000000" w:rsidDel="00000000" w:rsidP="00000000" w:rsidRDefault="00000000" w:rsidRPr="00000000" w14:paraId="00000035">
      <w:pPr>
        <w:numPr>
          <w:ilvl w:val="0"/>
          <w:numId w:val="10"/>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Its future image and the role it designates for itself.</w:t>
      </w:r>
    </w:p>
    <w:p w:rsidR="00000000" w:rsidDel="00000000" w:rsidP="00000000" w:rsidRDefault="00000000" w:rsidRPr="00000000" w14:paraId="00000036">
      <w:pPr>
        <w:pStyle w:val="Heading2"/>
        <w:tabs>
          <w:tab w:val="left" w:pos="454"/>
        </w:tabs>
        <w:spacing w:after="60" w:before="120" w:line="240" w:lineRule="auto"/>
        <w:jc w:val="both"/>
        <w:rPr>
          <w:rFonts w:ascii="Times New Roman" w:cs="Times New Roman" w:eastAsia="Times New Roman" w:hAnsi="Times New Roman"/>
        </w:rPr>
      </w:pPr>
      <w:bookmarkStart w:colFirst="0" w:colLast="0" w:name="_oti6fhstnjzd" w:id="12"/>
      <w:bookmarkEnd w:id="12"/>
      <w:r w:rsidDel="00000000" w:rsidR="00000000" w:rsidRPr="00000000">
        <w:rPr>
          <w:rFonts w:ascii="Times New Roman" w:cs="Times New Roman" w:eastAsia="Times New Roman" w:hAnsi="Times New Roman"/>
          <w:rtl w:val="0"/>
        </w:rPr>
        <w:t xml:space="preserve">3.2.5.</w:t>
        <w:tab/>
        <w:t xml:space="preserve">Definition of The Values</w:t>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prevailing values ​​in the Deanship, and among employees in general, have a great impact on the behavior of officials and employees. This effect appears clearly in the convictions that the employee has about his/her reality and his/her position at work. This appears in his/her general behavior and in the attitudes and practices at work.</w:t>
      </w:r>
    </w:p>
    <w:p w:rsidR="00000000" w:rsidDel="00000000" w:rsidP="00000000" w:rsidRDefault="00000000" w:rsidRPr="00000000" w14:paraId="00000038">
      <w:pPr>
        <w:pStyle w:val="Heading2"/>
        <w:tabs>
          <w:tab w:val="left" w:pos="454"/>
        </w:tabs>
        <w:spacing w:after="60" w:before="120" w:line="240" w:lineRule="auto"/>
        <w:jc w:val="both"/>
        <w:rPr>
          <w:rFonts w:ascii="Times New Roman" w:cs="Times New Roman" w:eastAsia="Times New Roman" w:hAnsi="Times New Roman"/>
        </w:rPr>
      </w:pPr>
      <w:bookmarkStart w:colFirst="0" w:colLast="0" w:name="_pll8q6sf3xjn" w:id="13"/>
      <w:bookmarkEnd w:id="13"/>
      <w:r w:rsidDel="00000000" w:rsidR="00000000" w:rsidRPr="00000000">
        <w:rPr>
          <w:rFonts w:ascii="Times New Roman" w:cs="Times New Roman" w:eastAsia="Times New Roman" w:hAnsi="Times New Roman"/>
          <w:rtl w:val="0"/>
        </w:rPr>
        <w:t xml:space="preserve">3.2.6.</w:t>
        <w:tab/>
        <w:t xml:space="preserve">Values ​​and Behaviors</w:t>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in general, the most influential “values”, understand them, and determine how to deal with them, as they are the gateway to make a positive change in the planning performance in terms of increasing the applicability of the strategic plan and improving the chances of success in achieving its goals. In a later step, the "values", convictions and practices of each influential party are classified according to the strength of their expected impact on the effectiveness of the implementation of the strategic plan, and thus its success in achieving its objectives. In conclusion, we highly stress that there are some obstacles that can hinder the success of the strategic plan, which are:</w:t>
      </w:r>
    </w:p>
    <w:p w:rsidR="00000000" w:rsidDel="00000000" w:rsidP="00000000" w:rsidRDefault="00000000" w:rsidRPr="00000000" w14:paraId="0000003A">
      <w:pPr>
        <w:numPr>
          <w:ilvl w:val="0"/>
          <w:numId w:val="4"/>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understanding how to develop a strategic plan, as strategic planning requires a different type of thinking.</w:t>
      </w:r>
    </w:p>
    <w:p w:rsidR="00000000" w:rsidDel="00000000" w:rsidP="00000000" w:rsidRDefault="00000000" w:rsidRPr="00000000" w14:paraId="0000003B">
      <w:pPr>
        <w:numPr>
          <w:ilvl w:val="0"/>
          <w:numId w:val="4"/>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Failure to maintain strategic focus and leadership, which impedes the implementation process and management. Thus, focus must be maintained in order to achieve all the components of the strategic plan.</w:t>
      </w:r>
    </w:p>
    <w:p w:rsidR="00000000" w:rsidDel="00000000" w:rsidP="00000000" w:rsidRDefault="00000000" w:rsidRPr="00000000" w14:paraId="0000003C">
      <w:pPr>
        <w:numPr>
          <w:ilvl w:val="0"/>
          <w:numId w:val="4"/>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lack of a joint commitment across the university, as it is necessary to impel the contribution of all the university members in the strategic planning process.</w:t>
      </w:r>
    </w:p>
    <w:p w:rsidR="00000000" w:rsidDel="00000000" w:rsidP="00000000" w:rsidRDefault="00000000" w:rsidRPr="00000000" w14:paraId="0000003D">
      <w:pPr>
        <w:numPr>
          <w:ilvl w:val="0"/>
          <w:numId w:val="4"/>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 strategic plan is not part of the university's prevailing actual culture, all university members have to realize the importance of this strategic plan.</w:t>
      </w:r>
    </w:p>
    <w:p w:rsidR="00000000" w:rsidDel="00000000" w:rsidP="00000000" w:rsidRDefault="00000000" w:rsidRPr="00000000" w14:paraId="0000003E">
      <w:pPr>
        <w:pStyle w:val="Heading2"/>
        <w:tabs>
          <w:tab w:val="left" w:pos="454"/>
        </w:tabs>
        <w:spacing w:after="60" w:before="120" w:line="240" w:lineRule="auto"/>
        <w:jc w:val="both"/>
        <w:rPr>
          <w:rFonts w:ascii="Times New Roman" w:cs="Times New Roman" w:eastAsia="Times New Roman" w:hAnsi="Times New Roman"/>
        </w:rPr>
      </w:pPr>
      <w:bookmarkStart w:colFirst="0" w:colLast="0" w:name="_rtmn0uaiv677" w:id="14"/>
      <w:bookmarkEnd w:id="14"/>
      <w:r w:rsidDel="00000000" w:rsidR="00000000" w:rsidRPr="00000000">
        <w:rPr>
          <w:rFonts w:ascii="Times New Roman" w:cs="Times New Roman" w:eastAsia="Times New Roman" w:hAnsi="Times New Roman"/>
          <w:rtl w:val="0"/>
        </w:rPr>
        <w:t xml:space="preserve">3.3.</w:t>
        <w:tab/>
        <w:tab/>
        <w:t xml:space="preserve">Phases of the SWOT Analysis</w:t>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SWOT analysis, the Quadruple SWOT Matrix, or the Quadruple Analysis Tool is one of the leading strategic analysis tools. It is an analytical method that helps identify the weaknesses and strengths and realize the type of threats and the nature of the available opportunities affecting the enterprises. SWOT analysis is one of the important systems for preparing and designing strategies for the business sector by presenting a set of short or long- term plans. The four-way analysis is also a means of not only analyzing the environment in which the strategic plan will be developed and implemented but also a data platform on which to build the strategic planning process. In its internal section, it deals with the Deanship's institutional strengths and weaknesses. In its external section, it focuses on the opportunities available in the external environment and the challenges arising from it. This process has been called a “Quadruple Analysis” (Strength, Weaknesses, Opportunities, Threats (SWOT)) as it relates to the study of the internal environment of the Deanship, including the elements of strength and weakness, and the external environment, including the opportunities it presents and the risks and challenges it presents to the Deanship. Accordingly, the quadruple analysis is the entrance to the planning process, through which the available resources and the development needs that the planners need to take into account when developing the strategic plan are identified, and the external environment in which the plan will be implemented with all its opportunities and challenges. Several techniques are used in this analysis process as part of the quadruple analysis and its most useful strategic planning methodology [9].</w:t>
      </w:r>
    </w:p>
    <w:p w:rsidR="00000000" w:rsidDel="00000000" w:rsidP="00000000" w:rsidRDefault="00000000" w:rsidRPr="00000000" w14:paraId="00000040">
      <w:pPr>
        <w:pStyle w:val="Heading2"/>
        <w:tabs>
          <w:tab w:val="left" w:pos="454"/>
        </w:tabs>
        <w:spacing w:after="60" w:before="120" w:line="240" w:lineRule="auto"/>
        <w:jc w:val="both"/>
        <w:rPr>
          <w:rFonts w:ascii="Times New Roman" w:cs="Times New Roman" w:eastAsia="Times New Roman" w:hAnsi="Times New Roman"/>
        </w:rPr>
      </w:pPr>
      <w:bookmarkStart w:colFirst="0" w:colLast="0" w:name="_o95tp3ff3ybb" w:id="15"/>
      <w:bookmarkEnd w:id="15"/>
      <w:r w:rsidDel="00000000" w:rsidR="00000000" w:rsidRPr="00000000">
        <w:rPr>
          <w:rFonts w:ascii="Times New Roman" w:cs="Times New Roman" w:eastAsia="Times New Roman" w:hAnsi="Times New Roman"/>
          <w:rtl w:val="0"/>
        </w:rPr>
        <w:t xml:space="preserve">3.3.1.</w:t>
        <w:tab/>
        <w:t xml:space="preserve">The Quadruple Analysis Methodology</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work of the "Quadruple Analysis" is not limited to just issuing a list of internal strengths and weaknesses, and the opportunities and challenges that arise from the external environment, but it should be supplemented with an analysis of the circumstances, causes and results associated with the items of this list. It is necessary for the analysis to be comprehensive and integrated, and to come out with a preliminary conception of required measures to increase the chances of the plan success in achieving the goals for which it was set. The main challenge facing the development of the plan is to work on matching strengths with available opportunities to ensure the success of the initiatives, transforming the weaknesses into strengths, transforming internal obstacles into challenges, and challenges into development opportunities. Figure 1 is a presentation of the quadruple analysis methodology, which occupies the heart of the strategic planning process, where the quadruple analysis can be prepared using the following perspectives: financial resources - organizational resources - beneficiaries - operations [10].</w:t>
      </w:r>
    </w:p>
    <w:p w:rsidR="00000000" w:rsidDel="00000000" w:rsidP="00000000" w:rsidRDefault="00000000" w:rsidRPr="00000000" w14:paraId="00000042">
      <w:pPr>
        <w:tabs>
          <w:tab w:val="center" w:pos="4513"/>
          <w:tab w:val="right" w:pos="902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114300" distR="114300">
            <wp:extent cx="5357340" cy="351146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357340" cy="3511462"/>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 1. </w:t>
      </w:r>
      <w:r w:rsidDel="00000000" w:rsidR="00000000" w:rsidRPr="00000000">
        <w:rPr>
          <w:rFonts w:ascii="Times New Roman" w:cs="Times New Roman" w:eastAsia="Times New Roman" w:hAnsi="Times New Roman"/>
          <w:rtl w:val="0"/>
        </w:rPr>
        <w:t xml:space="preserve">Quadruple Analysis Methodology</w:t>
      </w:r>
    </w:p>
    <w:p w:rsidR="00000000" w:rsidDel="00000000" w:rsidP="00000000" w:rsidRDefault="00000000" w:rsidRPr="00000000" w14:paraId="00000044">
      <w:pPr>
        <w:pStyle w:val="Heading2"/>
        <w:tabs>
          <w:tab w:val="left" w:pos="454"/>
        </w:tabs>
        <w:spacing w:after="60" w:before="120" w:line="240" w:lineRule="auto"/>
        <w:jc w:val="both"/>
        <w:rPr>
          <w:rFonts w:ascii="Times New Roman" w:cs="Times New Roman" w:eastAsia="Times New Roman" w:hAnsi="Times New Roman"/>
        </w:rPr>
      </w:pPr>
      <w:bookmarkStart w:colFirst="0" w:colLast="0" w:name="_pqsmwvjy1r4y" w:id="16"/>
      <w:bookmarkEnd w:id="16"/>
      <w:r w:rsidDel="00000000" w:rsidR="00000000" w:rsidRPr="00000000">
        <w:rPr>
          <w:rFonts w:ascii="Times New Roman" w:cs="Times New Roman" w:eastAsia="Times New Roman" w:hAnsi="Times New Roman"/>
          <w:rtl w:val="0"/>
        </w:rPr>
        <w:t xml:space="preserve">3.4.</w:t>
        <w:tab/>
        <w:tab/>
      </w:r>
      <w:r w:rsidDel="00000000" w:rsidR="00000000" w:rsidRPr="00000000">
        <w:rPr>
          <w:rFonts w:ascii="Times New Roman" w:cs="Times New Roman" w:eastAsia="Times New Roman" w:hAnsi="Times New Roman"/>
          <w:rtl w:val="0"/>
        </w:rPr>
        <w:t xml:space="preserve">The Importance of the SWOT Analysis</w:t>
      </w: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SWOT analysis is one of the most important tools for strategic analysis. It is considered the first stage of preparing and designing plans within organizations. It also helps people take and make decisions that affect their lives. Indeed, it is an easy and very important method that should be utilized and not ignored in the work environment. The importance of SWOT analysis is summarized according to the following points:</w:t>
      </w:r>
    </w:p>
    <w:p w:rsidR="00000000" w:rsidDel="00000000" w:rsidP="00000000" w:rsidRDefault="00000000" w:rsidRPr="00000000" w14:paraId="00000046">
      <w:pPr>
        <w:numPr>
          <w:ilvl w:val="0"/>
          <w:numId w:val="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SWOT analysis helps know all the strengths that can be used to deal with threats and obstacles, and also provides the appropriate means to take advantage of the available opportunities, and reduces the restrictions resulting from the elements of weakness affecting the efficiency of the organization's work.</w:t>
      </w:r>
    </w:p>
    <w:p w:rsidR="00000000" w:rsidDel="00000000" w:rsidP="00000000" w:rsidRDefault="00000000" w:rsidRPr="00000000" w14:paraId="00000047">
      <w:pPr>
        <w:numPr>
          <w:ilvl w:val="0"/>
          <w:numId w:val="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SWOT analysis contributes to providing appropriate treatments for complex strategic cases via reducing the volume of information involved in the development of the decision-making process.</w:t>
      </w:r>
    </w:p>
    <w:p w:rsidR="00000000" w:rsidDel="00000000" w:rsidP="00000000" w:rsidRDefault="00000000" w:rsidRPr="00000000" w14:paraId="00000048">
      <w:pPr>
        <w:numPr>
          <w:ilvl w:val="0"/>
          <w:numId w:val="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SWOT analysis provides the organization with the ability to choose the best systems and review all data and information.</w:t>
      </w:r>
    </w:p>
    <w:p w:rsidR="00000000" w:rsidDel="00000000" w:rsidP="00000000" w:rsidRDefault="00000000" w:rsidRPr="00000000" w14:paraId="00000049">
      <w:pPr>
        <w:numPr>
          <w:ilvl w:val="0"/>
          <w:numId w:val="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SWOT analysis supports the organization in reaching the best types of planning that help achieve goals. </w:t>
      </w:r>
    </w:p>
    <w:p w:rsidR="00000000" w:rsidDel="00000000" w:rsidP="00000000" w:rsidRDefault="00000000" w:rsidRPr="00000000" w14:paraId="0000004A">
      <w:pPr>
        <w:numPr>
          <w:ilvl w:val="0"/>
          <w:numId w:val="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SWOT analysis is keen to overcome the barriers and obstacles affecting the change processes and to clarify the nature of the constraints that prevent the continuity of change.</w:t>
      </w:r>
    </w:p>
    <w:p w:rsidR="00000000" w:rsidDel="00000000" w:rsidP="00000000" w:rsidRDefault="00000000" w:rsidRPr="00000000" w14:paraId="0000004B">
      <w:pPr>
        <w:numPr>
          <w:ilvl w:val="0"/>
          <w:numId w:val="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SWOT analysis provides information on all its components, including threats, strengths, opportunities, and weaknesses in order to implement a useful analysis of the organization. </w:t>
      </w:r>
    </w:p>
    <w:p w:rsidR="00000000" w:rsidDel="00000000" w:rsidP="00000000" w:rsidRDefault="00000000" w:rsidRPr="00000000" w14:paraId="0000004C">
      <w:pPr>
        <w:numPr>
          <w:ilvl w:val="0"/>
          <w:numId w:val="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SWOT analysis provides the possibility of obtaining new and modern solutions to the problems, effective decision-making. In addition, it enhances the role of exchanging ideas and communication between individuals. The SWOT analysis provides appropriate recommendations that help in preparing feasibility studies for projects.</w:t>
      </w:r>
    </w:p>
    <w:p w:rsidR="00000000" w:rsidDel="00000000" w:rsidP="00000000" w:rsidRDefault="00000000" w:rsidRPr="00000000" w14:paraId="0000004D">
      <w:pPr>
        <w:pStyle w:val="Heading1"/>
        <w:keepNext w:val="1"/>
        <w:keepLines w:val="1"/>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80" w:before="360" w:line="240" w:lineRule="auto"/>
        <w:ind w:left="360" w:right="0" w:hanging="360"/>
        <w:jc w:val="left"/>
      </w:pPr>
      <w:bookmarkStart w:colFirst="0" w:colLast="0" w:name="_6rpszgdrn7lr" w:id="17"/>
      <w:bookmarkEnd w:id="17"/>
      <w:r w:rsidDel="00000000" w:rsidR="00000000" w:rsidRPr="00000000">
        <w:rPr>
          <w:sz w:val="22"/>
          <w:szCs w:val="22"/>
          <w:rtl w:val="0"/>
        </w:rPr>
        <w:t xml:space="preserve">Result</w:t>
      </w:r>
    </w:p>
    <w:p w:rsidR="00000000" w:rsidDel="00000000" w:rsidP="00000000" w:rsidRDefault="00000000" w:rsidRPr="00000000" w14:paraId="0000004E">
      <w:pPr>
        <w:pStyle w:val="Heading2"/>
        <w:tabs>
          <w:tab w:val="left" w:pos="454"/>
        </w:tabs>
        <w:spacing w:after="60" w:before="120" w:line="240" w:lineRule="auto"/>
        <w:jc w:val="both"/>
        <w:rPr>
          <w:rFonts w:ascii="Times New Roman" w:cs="Times New Roman" w:eastAsia="Times New Roman" w:hAnsi="Times New Roman"/>
        </w:rPr>
      </w:pPr>
      <w:bookmarkStart w:colFirst="0" w:colLast="0" w:name="_g7rwd4d1zzmg" w:id="18"/>
      <w:bookmarkEnd w:id="18"/>
      <w:r w:rsidDel="00000000" w:rsidR="00000000" w:rsidRPr="00000000">
        <w:rPr>
          <w:rFonts w:ascii="Times New Roman" w:cs="Times New Roman" w:eastAsia="Times New Roman" w:hAnsi="Times New Roman"/>
          <w:rtl w:val="0"/>
        </w:rPr>
        <w:t xml:space="preserve">4.1.</w:t>
        <w:tab/>
        <w:tab/>
        <w:t xml:space="preserve">Strategic Plans</w:t>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success of the basic strategic plan is measured by achieving its goals. An “operations plan” must be drawn up to organize the supervision of the implementation of the strategic plan, and to allow for an assessment of progress on its path and to check the reasons for deviating from its goals, in preparation for taking the necessary steps for correction and to reach again the targeted results.</w:t>
      </w:r>
    </w:p>
    <w:p w:rsidR="00000000" w:rsidDel="00000000" w:rsidP="00000000" w:rsidRDefault="00000000" w:rsidRPr="00000000" w14:paraId="00000050">
      <w:pPr>
        <w:pStyle w:val="Heading2"/>
        <w:tabs>
          <w:tab w:val="left" w:pos="454"/>
        </w:tabs>
        <w:spacing w:after="60" w:before="120" w:line="240" w:lineRule="auto"/>
        <w:jc w:val="both"/>
        <w:rPr>
          <w:rFonts w:ascii="Times New Roman" w:cs="Times New Roman" w:eastAsia="Times New Roman" w:hAnsi="Times New Roman"/>
        </w:rPr>
      </w:pPr>
      <w:bookmarkStart w:colFirst="0" w:colLast="0" w:name="_iqyempve4d0z" w:id="19"/>
      <w:bookmarkEnd w:id="19"/>
      <w:r w:rsidDel="00000000" w:rsidR="00000000" w:rsidRPr="00000000">
        <w:rPr>
          <w:rFonts w:ascii="Times New Roman" w:cs="Times New Roman" w:eastAsia="Times New Roman" w:hAnsi="Times New Roman"/>
          <w:rtl w:val="0"/>
        </w:rPr>
        <w:t xml:space="preserve">4.2.</w:t>
        <w:tab/>
        <w:tab/>
        <w:t xml:space="preserve">Alternative and Contingency Plans</w:t>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Alternative and contingency plans are the result of an analysis process of the potential risks that may obstruct, impede, or deviate the plan from its original path and prevent the achievement of its goals. They are pre-arranged plans. The preventive planning process helps anticipate the upcoming risks and prepare to confront them, deal with them as much as possible, and reduce their consequences and effects. Alternative plans deal with emerging problems that could not be taken into account when developing the original strategic plan. These cases are related to the occurrence of a variable that prevents the continuation of the program or project, as planned. The planner’s job in this case is to work on finding alternatives that allow resuming/continuing work on the planned program or project in order to achieve the goals set for it, and its successor to the strategic plan in general. In addition, resorting to the development of alternative plans to the basic strategic plan takes place in two cases:</w:t>
      </w:r>
    </w:p>
    <w:p w:rsidR="00000000" w:rsidDel="00000000" w:rsidP="00000000" w:rsidRDefault="00000000" w:rsidRPr="00000000" w14:paraId="00000052">
      <w:pPr>
        <w:numPr>
          <w:ilvl w:val="0"/>
          <w:numId w:val="6"/>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basic plan was found to be defective and unsuitable for achieving the targeted results during the implementation.</w:t>
      </w:r>
    </w:p>
    <w:p w:rsidR="00000000" w:rsidDel="00000000" w:rsidP="00000000" w:rsidRDefault="00000000" w:rsidRPr="00000000" w14:paraId="00000053">
      <w:pPr>
        <w:numPr>
          <w:ilvl w:val="0"/>
          <w:numId w:val="6"/>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response to profound shifts in the plan's environment that render it inappropriate and/or weak.</w:t>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that time, it is necessary to reconsider the hypotheses, foundations and goals of the plan in order to make it more realistic and in response to the profound changes taking place in the plan’s environment. This is done at some stage in the implementation of the plan. However, this is an extreme case, which can be ruled out with a correct understanding of the data and indicators, good preparation of the plan, and the mobilization of appropriate resources to ensure the successful implementation of the plan and the achievement of its established goals. Therefore, in anticipation of such cases, the potential risks should be taken into account when preparing the basic plan, and to anticipate the most likely and serious variables, by preparing alternatives to the disruptive elements that ensure the continuity of work in accordance with the directives of the basic plan and to achieve its goals.</w:t>
      </w:r>
    </w:p>
    <w:p w:rsidR="00000000" w:rsidDel="00000000" w:rsidP="00000000" w:rsidRDefault="00000000" w:rsidRPr="00000000" w14:paraId="00000055">
      <w:pPr>
        <w:pStyle w:val="Heading2"/>
        <w:tabs>
          <w:tab w:val="left" w:pos="454"/>
        </w:tabs>
        <w:spacing w:after="60" w:before="120" w:line="240" w:lineRule="auto"/>
        <w:jc w:val="both"/>
        <w:rPr>
          <w:rFonts w:ascii="Times New Roman" w:cs="Times New Roman" w:eastAsia="Times New Roman" w:hAnsi="Times New Roman"/>
        </w:rPr>
      </w:pPr>
      <w:bookmarkStart w:colFirst="0" w:colLast="0" w:name="_hnacos90tky" w:id="20"/>
      <w:bookmarkEnd w:id="20"/>
      <w:r w:rsidDel="00000000" w:rsidR="00000000" w:rsidRPr="00000000">
        <w:rPr>
          <w:rFonts w:ascii="Times New Roman" w:cs="Times New Roman" w:eastAsia="Times New Roman" w:hAnsi="Times New Roman"/>
          <w:rtl w:val="0"/>
        </w:rPr>
        <w:t xml:space="preserve">4.3.</w:t>
        <w:tab/>
        <w:tab/>
        <w:t xml:space="preserve">List of strategic initiatives and projects implemented by the Deanship of Information Technology</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Deanship of Information Technology at King Abdulaziz University has implemented the strategic plan that supports the mission, vision and values. It is aligned horizontally and vertically across the university while integrating environmental scanning and resource allocation and development. It effectively implements coordinated work projects that improve the university’s programs and services, as well as working on measurable projects and externally measuring performance to support KAU’s commitment to being a high-performance and world-class university. During the planning process, university leaders implement practices that encourage excellence, innovation, agility, assessment, and engagement to continually improve performance. The following tables summarize the proposed strategic plan initiatives and projects, followed by a description of each initiative with its projects.</w:t>
      </w:r>
    </w:p>
    <w:p w:rsidR="00000000" w:rsidDel="00000000" w:rsidP="00000000" w:rsidRDefault="00000000" w:rsidRPr="00000000" w14:paraId="00000057">
      <w:pPr>
        <w:pStyle w:val="Heading2"/>
        <w:tabs>
          <w:tab w:val="left" w:pos="454"/>
        </w:tabs>
        <w:spacing w:after="60" w:before="120" w:line="240" w:lineRule="auto"/>
        <w:jc w:val="both"/>
        <w:rPr>
          <w:rFonts w:ascii="Times New Roman" w:cs="Times New Roman" w:eastAsia="Times New Roman" w:hAnsi="Times New Roman"/>
        </w:rPr>
      </w:pPr>
      <w:bookmarkStart w:colFirst="0" w:colLast="0" w:name="_snipcmf5v6yr" w:id="21"/>
      <w:bookmarkEnd w:id="21"/>
      <w:r w:rsidDel="00000000" w:rsidR="00000000" w:rsidRPr="00000000">
        <w:rPr>
          <w:rFonts w:ascii="Times New Roman" w:cs="Times New Roman" w:eastAsia="Times New Roman" w:hAnsi="Times New Roman"/>
          <w:rtl w:val="0"/>
        </w:rPr>
        <w:t xml:space="preserve">4.3.1.</w:t>
        <w:tab/>
        <w:t xml:space="preserve">At the Beneficiaries Level</w:t>
      </w: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proposed initiatives and projects work to achieve the goals of the beneficiaries directly from the university's technology systems, this is described in table 1, table 2 described financial leve, table 3 described internal operations  .</w:t>
      </w:r>
    </w:p>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1. </w:t>
      </w:r>
      <w:r w:rsidDel="00000000" w:rsidR="00000000" w:rsidRPr="00000000">
        <w:rPr>
          <w:rFonts w:ascii="Times New Roman" w:cs="Times New Roman" w:eastAsia="Times New Roman" w:hAnsi="Times New Roman"/>
          <w:rtl w:val="0"/>
        </w:rPr>
        <w:t xml:space="preserve">Projects work to achieve the goals of the beneficiaries directly from the university's technology systems</w:t>
      </w:r>
    </w:p>
    <w:tbl>
      <w:tblPr>
        <w:tblStyle w:val="Table1"/>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shd w:fill="00b050" w:val="clear"/>
            <w:vAlign w:val="center"/>
          </w:tcPr>
          <w:p w:rsidR="00000000" w:rsidDel="00000000" w:rsidP="00000000" w:rsidRDefault="00000000" w:rsidRPr="00000000" w14:paraId="0000005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strategic goal</w:t>
            </w:r>
          </w:p>
        </w:tc>
        <w:tc>
          <w:tcPr>
            <w:shd w:fill="00b050" w:val="clear"/>
            <w:vAlign w:val="center"/>
          </w:tcPr>
          <w:p w:rsidR="00000000" w:rsidDel="00000000" w:rsidP="00000000" w:rsidRDefault="00000000" w:rsidRPr="00000000" w14:paraId="0000005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initiative</w:t>
            </w:r>
          </w:p>
        </w:tc>
        <w:tc>
          <w:tcPr>
            <w:shd w:fill="00b050" w:val="clear"/>
            <w:vAlign w:val="center"/>
          </w:tcPr>
          <w:p w:rsidR="00000000" w:rsidDel="00000000" w:rsidP="00000000" w:rsidRDefault="00000000" w:rsidRPr="00000000" w14:paraId="0000005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project</w:t>
            </w:r>
          </w:p>
        </w:tc>
      </w:tr>
      <w:tr>
        <w:trPr>
          <w:cantSplit w:val="0"/>
          <w:tblHeader w:val="0"/>
        </w:trPr>
        <w:tc>
          <w:tcPr>
            <w:vMerge w:val="restart"/>
            <w:vAlign w:val="center"/>
          </w:tcPr>
          <w:p w:rsidR="00000000" w:rsidDel="00000000" w:rsidP="00000000" w:rsidRDefault="00000000" w:rsidRPr="00000000" w14:paraId="0000005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Application and development of management and electronic transactions</w:t>
            </w:r>
          </w:p>
        </w:tc>
        <w:tc>
          <w:tcPr>
            <w:vMerge w:val="restart"/>
            <w:vAlign w:val="center"/>
          </w:tcPr>
          <w:p w:rsidR="00000000" w:rsidDel="00000000" w:rsidP="00000000" w:rsidRDefault="00000000" w:rsidRPr="00000000" w14:paraId="0000005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e-portal development initiative</w:t>
            </w:r>
          </w:p>
          <w:p w:rsidR="00000000" w:rsidDel="00000000" w:rsidP="00000000" w:rsidRDefault="00000000" w:rsidRPr="00000000" w14:paraId="0000005F">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(I6)</w:t>
            </w:r>
          </w:p>
        </w:tc>
        <w:tc>
          <w:tcPr>
            <w:vAlign w:val="center"/>
          </w:tcPr>
          <w:p w:rsidR="00000000" w:rsidDel="00000000" w:rsidP="00000000" w:rsidRDefault="00000000" w:rsidRPr="00000000" w14:paraId="0000006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Portal infrastructure development</w:t>
            </w:r>
          </w:p>
        </w:tc>
      </w:tr>
      <w:tr>
        <w:trPr>
          <w:cantSplit w:val="0"/>
          <w:tblHeader w:val="0"/>
        </w:trPr>
        <w:tc>
          <w:tcPr>
            <w:vMerge w:val="continue"/>
            <w:vAlign w:val="center"/>
          </w:tcPr>
          <w:p w:rsidR="00000000" w:rsidDel="00000000" w:rsidP="00000000" w:rsidRDefault="00000000" w:rsidRPr="00000000" w14:paraId="00000061">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62">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Portal application development</w:t>
            </w:r>
          </w:p>
        </w:tc>
      </w:tr>
      <w:tr>
        <w:trPr>
          <w:cantSplit w:val="0"/>
          <w:tblHeader w:val="0"/>
        </w:trPr>
        <w:tc>
          <w:tcPr>
            <w:vMerge w:val="continue"/>
            <w:vAlign w:val="center"/>
          </w:tcPr>
          <w:p w:rsidR="00000000" w:rsidDel="00000000" w:rsidP="00000000" w:rsidRDefault="00000000" w:rsidRPr="00000000" w14:paraId="00000064">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65">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Apply global standards for website rankings</w:t>
            </w:r>
          </w:p>
        </w:tc>
      </w:tr>
      <w:tr>
        <w:trPr>
          <w:cantSplit w:val="0"/>
          <w:tblHeader w:val="0"/>
        </w:trPr>
        <w:tc>
          <w:tcPr>
            <w:vMerge w:val="continue"/>
            <w:vAlign w:val="center"/>
          </w:tcPr>
          <w:p w:rsidR="00000000" w:rsidDel="00000000" w:rsidP="00000000" w:rsidRDefault="00000000" w:rsidRPr="00000000" w14:paraId="00000067">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68">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Hosting the website with third parties</w:t>
            </w:r>
          </w:p>
        </w:tc>
      </w:tr>
      <w:tr>
        <w:trPr>
          <w:cantSplit w:val="0"/>
          <w:tblHeader w:val="0"/>
        </w:trPr>
        <w:tc>
          <w:tcPr>
            <w:vMerge w:val="continue"/>
            <w:vAlign w:val="center"/>
          </w:tcPr>
          <w:p w:rsidR="00000000" w:rsidDel="00000000" w:rsidP="00000000" w:rsidRDefault="00000000" w:rsidRPr="00000000" w14:paraId="0000006A">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6B">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Increase the number of files</w:t>
            </w:r>
          </w:p>
        </w:tc>
      </w:tr>
      <w:tr>
        <w:trPr>
          <w:cantSplit w:val="0"/>
          <w:tblHeader w:val="0"/>
        </w:trPr>
        <w:tc>
          <w:tcPr>
            <w:vMerge w:val="continue"/>
            <w:vAlign w:val="center"/>
          </w:tcPr>
          <w:p w:rsidR="00000000" w:rsidDel="00000000" w:rsidP="00000000" w:rsidRDefault="00000000" w:rsidRPr="00000000" w14:paraId="0000006D">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6E">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Increasing the number of published research</w:t>
            </w:r>
          </w:p>
        </w:tc>
      </w:tr>
      <w:tr>
        <w:trPr>
          <w:cantSplit w:val="0"/>
          <w:tblHeader w:val="0"/>
        </w:trPr>
        <w:tc>
          <w:tcPr>
            <w:vMerge w:val="continue"/>
            <w:vAlign w:val="center"/>
          </w:tcPr>
          <w:p w:rsidR="00000000" w:rsidDel="00000000" w:rsidP="00000000" w:rsidRDefault="00000000" w:rsidRPr="00000000" w14:paraId="00000070">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71">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Providing workshops for faculty members</w:t>
            </w:r>
          </w:p>
        </w:tc>
      </w:tr>
      <w:tr>
        <w:trPr>
          <w:cantSplit w:val="0"/>
          <w:tblHeader w:val="0"/>
        </w:trPr>
        <w:tc>
          <w:tcPr>
            <w:vMerge w:val="continue"/>
            <w:vAlign w:val="center"/>
          </w:tcPr>
          <w:p w:rsidR="00000000" w:rsidDel="00000000" w:rsidP="00000000" w:rsidRDefault="00000000" w:rsidRPr="00000000" w14:paraId="00000073">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74">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Coordinators training</w:t>
            </w:r>
          </w:p>
        </w:tc>
      </w:tr>
      <w:tr>
        <w:trPr>
          <w:cantSplit w:val="0"/>
          <w:tblHeader w:val="0"/>
        </w:trPr>
        <w:tc>
          <w:tcPr>
            <w:vMerge w:val="continue"/>
            <w:vAlign w:val="center"/>
          </w:tcPr>
          <w:p w:rsidR="00000000" w:rsidDel="00000000" w:rsidP="00000000" w:rsidRDefault="00000000" w:rsidRPr="00000000" w14:paraId="00000076">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77">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Increase the number of external links</w:t>
            </w:r>
          </w:p>
        </w:tc>
      </w:tr>
      <w:tr>
        <w:trPr>
          <w:cantSplit w:val="0"/>
          <w:tblHeader w:val="0"/>
        </w:trPr>
        <w:tc>
          <w:tcPr>
            <w:vMerge w:val="continue"/>
            <w:vAlign w:val="center"/>
          </w:tcPr>
          <w:p w:rsidR="00000000" w:rsidDel="00000000" w:rsidP="00000000" w:rsidRDefault="00000000" w:rsidRPr="00000000" w14:paraId="00000079">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7A">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Increase the number of pages on the web</w:t>
            </w:r>
          </w:p>
        </w:tc>
      </w:tr>
      <w:tr>
        <w:trPr>
          <w:cantSplit w:val="0"/>
          <w:tblHeader w:val="0"/>
        </w:trPr>
        <w:tc>
          <w:tcPr>
            <w:vMerge w:val="continue"/>
            <w:vAlign w:val="center"/>
          </w:tcPr>
          <w:p w:rsidR="00000000" w:rsidDel="00000000" w:rsidP="00000000" w:rsidRDefault="00000000" w:rsidRPr="00000000" w14:paraId="0000007C">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7D">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Increase the capacity of the connection</w:t>
            </w:r>
          </w:p>
        </w:tc>
      </w:tr>
      <w:tr>
        <w:trPr>
          <w:cantSplit w:val="0"/>
          <w:tblHeader w:val="0"/>
        </w:trPr>
        <w:tc>
          <w:tcPr>
            <w:vMerge w:val="continue"/>
            <w:vAlign w:val="center"/>
          </w:tcPr>
          <w:p w:rsidR="00000000" w:rsidDel="00000000" w:rsidP="00000000" w:rsidRDefault="00000000" w:rsidRPr="00000000" w14:paraId="0000007F">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restart"/>
            <w:vAlign w:val="center"/>
          </w:tcPr>
          <w:p w:rsidR="00000000" w:rsidDel="00000000" w:rsidP="00000000" w:rsidRDefault="00000000" w:rsidRPr="00000000" w14:paraId="00000080">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Applications Initiative (I7)</w:t>
            </w:r>
          </w:p>
        </w:tc>
        <w:tc>
          <w:tcPr>
            <w:vAlign w:val="center"/>
          </w:tcPr>
          <w:p w:rsidR="00000000" w:rsidDel="00000000" w:rsidP="00000000" w:rsidRDefault="00000000" w:rsidRPr="00000000" w14:paraId="0000008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and Scientific Information System</w:t>
            </w:r>
          </w:p>
        </w:tc>
      </w:tr>
      <w:tr>
        <w:trPr>
          <w:cantSplit w:val="0"/>
          <w:tblHeader w:val="0"/>
        </w:trPr>
        <w:tc>
          <w:tcPr>
            <w:vMerge w:val="continue"/>
            <w:vAlign w:val="center"/>
          </w:tcPr>
          <w:p w:rsidR="00000000" w:rsidDel="00000000" w:rsidP="00000000" w:rsidRDefault="00000000" w:rsidRPr="00000000" w14:paraId="00000082">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83">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8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Creation of a research and scientific applications management unit</w:t>
            </w:r>
          </w:p>
        </w:tc>
      </w:tr>
      <w:tr>
        <w:trPr>
          <w:cantSplit w:val="0"/>
          <w:tblHeader w:val="0"/>
        </w:trPr>
        <w:tc>
          <w:tcPr>
            <w:vMerge w:val="continue"/>
            <w:vAlign w:val="center"/>
          </w:tcPr>
          <w:p w:rsidR="00000000" w:rsidDel="00000000" w:rsidP="00000000" w:rsidRDefault="00000000" w:rsidRPr="00000000" w14:paraId="00000085">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86">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8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institute system</w:t>
            </w:r>
          </w:p>
        </w:tc>
      </w:tr>
      <w:tr>
        <w:trPr>
          <w:cantSplit w:val="0"/>
          <w:tblHeader w:val="0"/>
        </w:trPr>
        <w:tc>
          <w:tcPr>
            <w:vMerge w:val="continue"/>
            <w:vAlign w:val="center"/>
          </w:tcPr>
          <w:p w:rsidR="00000000" w:rsidDel="00000000" w:rsidP="00000000" w:rsidRDefault="00000000" w:rsidRPr="00000000" w14:paraId="00000088">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89">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8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joint supervision system</w:t>
            </w:r>
          </w:p>
        </w:tc>
      </w:tr>
      <w:tr>
        <w:trPr>
          <w:cantSplit w:val="0"/>
          <w:tblHeader w:val="0"/>
        </w:trPr>
        <w:tc>
          <w:tcPr>
            <w:vMerge w:val="continue"/>
            <w:vAlign w:val="center"/>
          </w:tcPr>
          <w:p w:rsidR="00000000" w:rsidDel="00000000" w:rsidP="00000000" w:rsidRDefault="00000000" w:rsidRPr="00000000" w14:paraId="0000008B">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restart"/>
            <w:vAlign w:val="center"/>
          </w:tcPr>
          <w:p w:rsidR="00000000" w:rsidDel="00000000" w:rsidP="00000000" w:rsidRDefault="00000000" w:rsidRPr="00000000" w14:paraId="0000008C">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Academic Application Development Initiative (I4)</w:t>
            </w:r>
          </w:p>
        </w:tc>
        <w:tc>
          <w:tcPr>
            <w:vAlign w:val="center"/>
          </w:tcPr>
          <w:p w:rsidR="00000000" w:rsidDel="00000000" w:rsidP="00000000" w:rsidRDefault="00000000" w:rsidRPr="00000000" w14:paraId="0000008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Prepare the Banner infrastructure system</w:t>
            </w:r>
          </w:p>
        </w:tc>
      </w:tr>
      <w:tr>
        <w:trPr>
          <w:cantSplit w:val="0"/>
          <w:tblHeader w:val="0"/>
        </w:trPr>
        <w:tc>
          <w:tcPr>
            <w:vMerge w:val="continue"/>
            <w:vAlign w:val="center"/>
          </w:tcPr>
          <w:p w:rsidR="00000000" w:rsidDel="00000000" w:rsidP="00000000" w:rsidRDefault="00000000" w:rsidRPr="00000000" w14:paraId="0000008E">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8F">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9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Banner System Application</w:t>
            </w:r>
          </w:p>
        </w:tc>
      </w:tr>
      <w:tr>
        <w:trPr>
          <w:cantSplit w:val="0"/>
          <w:tblHeader w:val="0"/>
        </w:trPr>
        <w:tc>
          <w:tcPr>
            <w:vMerge w:val="continue"/>
            <w:vAlign w:val="center"/>
          </w:tcPr>
          <w:p w:rsidR="00000000" w:rsidDel="00000000" w:rsidP="00000000" w:rsidRDefault="00000000" w:rsidRPr="00000000" w14:paraId="00000091">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restart"/>
            <w:vAlign w:val="center"/>
          </w:tcPr>
          <w:p w:rsidR="00000000" w:rsidDel="00000000" w:rsidP="00000000" w:rsidRDefault="00000000" w:rsidRPr="00000000" w14:paraId="0000009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E-Management Application Development Initiative (I5)</w:t>
            </w:r>
          </w:p>
        </w:tc>
        <w:tc>
          <w:tcPr>
            <w:vAlign w:val="center"/>
          </w:tcPr>
          <w:p w:rsidR="00000000" w:rsidDel="00000000" w:rsidP="00000000" w:rsidRDefault="00000000" w:rsidRPr="00000000" w14:paraId="0000009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Preparing the infrastructure for the ERP - SAP system</w:t>
            </w:r>
          </w:p>
        </w:tc>
      </w:tr>
      <w:tr>
        <w:trPr>
          <w:cantSplit w:val="0"/>
          <w:tblHeader w:val="0"/>
        </w:trPr>
        <w:tc>
          <w:tcPr>
            <w:vMerge w:val="continue"/>
            <w:vAlign w:val="center"/>
          </w:tcPr>
          <w:p w:rsidR="00000000" w:rsidDel="00000000" w:rsidP="00000000" w:rsidRDefault="00000000" w:rsidRPr="00000000" w14:paraId="00000094">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95">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9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ERP – SAP System</w:t>
            </w:r>
          </w:p>
        </w:tc>
      </w:tr>
      <w:tr>
        <w:trPr>
          <w:cantSplit w:val="0"/>
          <w:tblHeader w:val="0"/>
        </w:trPr>
        <w:tc>
          <w:tcPr>
            <w:vMerge w:val="continue"/>
            <w:vAlign w:val="center"/>
          </w:tcPr>
          <w:p w:rsidR="00000000" w:rsidDel="00000000" w:rsidP="00000000" w:rsidRDefault="00000000" w:rsidRPr="00000000" w14:paraId="00000097">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restart"/>
            <w:vAlign w:val="center"/>
          </w:tcPr>
          <w:p w:rsidR="00000000" w:rsidDel="00000000" w:rsidP="00000000" w:rsidRDefault="00000000" w:rsidRPr="00000000" w14:paraId="00000098">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Campus Smart Technologies Application Initiative (I8)</w:t>
            </w:r>
          </w:p>
        </w:tc>
        <w:tc>
          <w:tcPr>
            <w:vAlign w:val="center"/>
          </w:tcPr>
          <w:p w:rsidR="00000000" w:rsidDel="00000000" w:rsidP="00000000" w:rsidRDefault="00000000" w:rsidRPr="00000000" w14:paraId="0000009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computing cloud</w:t>
            </w:r>
          </w:p>
        </w:tc>
      </w:tr>
      <w:tr>
        <w:trPr>
          <w:cantSplit w:val="0"/>
          <w:tblHeader w:val="0"/>
        </w:trPr>
        <w:tc>
          <w:tcPr>
            <w:vMerge w:val="continue"/>
            <w:vAlign w:val="center"/>
          </w:tcPr>
          <w:p w:rsidR="00000000" w:rsidDel="00000000" w:rsidP="00000000" w:rsidRDefault="00000000" w:rsidRPr="00000000" w14:paraId="0000009A">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9B">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9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terminals</w:t>
            </w:r>
          </w:p>
        </w:tc>
      </w:tr>
      <w:tr>
        <w:trPr>
          <w:cantSplit w:val="0"/>
          <w:tblHeader w:val="0"/>
        </w:trPr>
        <w:tc>
          <w:tcPr>
            <w:vMerge w:val="continue"/>
            <w:vAlign w:val="center"/>
          </w:tcPr>
          <w:p w:rsidR="00000000" w:rsidDel="00000000" w:rsidP="00000000" w:rsidRDefault="00000000" w:rsidRPr="00000000" w14:paraId="0000009D">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9E">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9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 user apps</w:t>
            </w:r>
          </w:p>
        </w:tc>
      </w:tr>
      <w:tr>
        <w:trPr>
          <w:cantSplit w:val="0"/>
          <w:tblHeader w:val="0"/>
        </w:trPr>
        <w:tc>
          <w:tcPr>
            <w:vMerge w:val="restart"/>
            <w:vAlign w:val="center"/>
          </w:tcPr>
          <w:p w:rsidR="00000000" w:rsidDel="00000000" w:rsidP="00000000" w:rsidRDefault="00000000" w:rsidRPr="00000000" w14:paraId="000000A0">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Supporting decision-making with smart knowledge</w:t>
            </w:r>
          </w:p>
        </w:tc>
        <w:tc>
          <w:tcPr>
            <w:vMerge w:val="restart"/>
            <w:vAlign w:val="center"/>
          </w:tcPr>
          <w:p w:rsidR="00000000" w:rsidDel="00000000" w:rsidP="00000000" w:rsidRDefault="00000000" w:rsidRPr="00000000" w14:paraId="000000A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Smart Decisions Initiative (I12)</w:t>
            </w:r>
          </w:p>
        </w:tc>
        <w:tc>
          <w:tcPr>
            <w:vAlign w:val="center"/>
          </w:tcPr>
          <w:p w:rsidR="00000000" w:rsidDel="00000000" w:rsidP="00000000" w:rsidRDefault="00000000" w:rsidRPr="00000000" w14:paraId="000000A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and implementation of decision support systems and performance indicators</w:t>
            </w:r>
          </w:p>
        </w:tc>
      </w:tr>
      <w:tr>
        <w:trPr>
          <w:cantSplit w:val="0"/>
          <w:tblHeader w:val="0"/>
        </w:trPr>
        <w:tc>
          <w:tcPr>
            <w:vMerge w:val="continue"/>
            <w:vAlign w:val="center"/>
          </w:tcPr>
          <w:p w:rsidR="00000000" w:rsidDel="00000000" w:rsidP="00000000" w:rsidRDefault="00000000" w:rsidRPr="00000000" w14:paraId="000000A3">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A4">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A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Preparing the technical infrastructure of the performance management system</w:t>
            </w:r>
          </w:p>
        </w:tc>
      </w:tr>
      <w:tr>
        <w:trPr>
          <w:cantSplit w:val="0"/>
          <w:tblHeader w:val="0"/>
        </w:trPr>
        <w:tc>
          <w:tcPr>
            <w:vMerge w:val="continue"/>
            <w:vAlign w:val="center"/>
          </w:tcPr>
          <w:p w:rsidR="00000000" w:rsidDel="00000000" w:rsidP="00000000" w:rsidRDefault="00000000" w:rsidRPr="00000000" w14:paraId="000000A6">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A7">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A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of information management staff with standards and indicators</w:t>
            </w:r>
          </w:p>
        </w:tc>
      </w:tr>
    </w:tbl>
    <w:p w:rsidR="00000000" w:rsidDel="00000000" w:rsidP="00000000" w:rsidRDefault="00000000" w:rsidRPr="00000000" w14:paraId="000000A9">
      <w:pPr>
        <w:pStyle w:val="Heading2"/>
        <w:tabs>
          <w:tab w:val="left" w:pos="454"/>
        </w:tabs>
        <w:spacing w:after="60" w:before="120" w:line="240" w:lineRule="auto"/>
        <w:jc w:val="both"/>
        <w:rPr>
          <w:rFonts w:ascii="Times New Roman" w:cs="Times New Roman" w:eastAsia="Times New Roman" w:hAnsi="Times New Roman"/>
        </w:rPr>
      </w:pPr>
      <w:bookmarkStart w:colFirst="0" w:colLast="0" w:name="_xxr20ha4dbvc" w:id="22"/>
      <w:bookmarkEnd w:id="22"/>
      <w:r w:rsidDel="00000000" w:rsidR="00000000" w:rsidRPr="00000000">
        <w:rPr>
          <w:rtl w:val="0"/>
        </w:rPr>
      </w:r>
    </w:p>
    <w:p w:rsidR="00000000" w:rsidDel="00000000" w:rsidP="00000000" w:rsidRDefault="00000000" w:rsidRPr="00000000" w14:paraId="000000AA">
      <w:pPr>
        <w:pStyle w:val="Heading2"/>
        <w:tabs>
          <w:tab w:val="left" w:pos="454"/>
        </w:tabs>
        <w:spacing w:after="60" w:before="120" w:line="240" w:lineRule="auto"/>
        <w:jc w:val="both"/>
        <w:rPr>
          <w:rFonts w:ascii="Times New Roman" w:cs="Times New Roman" w:eastAsia="Times New Roman" w:hAnsi="Times New Roman"/>
        </w:rPr>
      </w:pPr>
      <w:bookmarkStart w:colFirst="0" w:colLast="0" w:name="_bxbtkltf5a4" w:id="23"/>
      <w:bookmarkEnd w:id="23"/>
      <w:r w:rsidDel="00000000" w:rsidR="00000000" w:rsidRPr="00000000">
        <w:rPr>
          <w:rFonts w:ascii="Times New Roman" w:cs="Times New Roman" w:eastAsia="Times New Roman" w:hAnsi="Times New Roman"/>
          <w:rtl w:val="0"/>
        </w:rPr>
        <w:t xml:space="preserve">4.3.2.</w:t>
        <w:tab/>
        <w:t xml:space="preserve">At the Financial Level</w:t>
      </w:r>
    </w:p>
    <w:p w:rsidR="00000000" w:rsidDel="00000000" w:rsidP="00000000" w:rsidRDefault="00000000" w:rsidRPr="00000000" w14:paraId="000000AB">
      <w:pPr>
        <w:spacing w:before="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2. </w:t>
      </w:r>
      <w:r w:rsidDel="00000000" w:rsidR="00000000" w:rsidRPr="00000000">
        <w:rPr>
          <w:rFonts w:ascii="Times New Roman" w:cs="Times New Roman" w:eastAsia="Times New Roman" w:hAnsi="Times New Roman"/>
          <w:rtl w:val="0"/>
        </w:rPr>
        <w:t xml:space="preserve">Projects work to achieve the goals of the financial directly from the university's technology systems</w:t>
      </w:r>
      <w:r w:rsidDel="00000000" w:rsidR="00000000" w:rsidRPr="00000000">
        <w:rPr>
          <w:rtl w:val="0"/>
        </w:rPr>
      </w:r>
    </w:p>
    <w:tbl>
      <w:tblPr>
        <w:tblStyle w:val="Table2"/>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shd w:fill="00b050" w:val="clear"/>
            <w:vAlign w:val="center"/>
          </w:tcPr>
          <w:p w:rsidR="00000000" w:rsidDel="00000000" w:rsidP="00000000" w:rsidRDefault="00000000" w:rsidRPr="00000000" w14:paraId="000000A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strategic goal</w:t>
            </w:r>
          </w:p>
        </w:tc>
        <w:tc>
          <w:tcPr>
            <w:shd w:fill="00b050" w:val="clear"/>
            <w:vAlign w:val="center"/>
          </w:tcPr>
          <w:p w:rsidR="00000000" w:rsidDel="00000000" w:rsidP="00000000" w:rsidRDefault="00000000" w:rsidRPr="00000000" w14:paraId="000000A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initiative</w:t>
            </w:r>
          </w:p>
        </w:tc>
        <w:tc>
          <w:tcPr>
            <w:shd w:fill="00b050" w:val="clear"/>
            <w:vAlign w:val="center"/>
          </w:tcPr>
          <w:p w:rsidR="00000000" w:rsidDel="00000000" w:rsidP="00000000" w:rsidRDefault="00000000" w:rsidRPr="00000000" w14:paraId="000000A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project</w:t>
            </w:r>
          </w:p>
        </w:tc>
      </w:tr>
      <w:tr>
        <w:trPr>
          <w:cantSplit w:val="0"/>
          <w:tblHeader w:val="0"/>
        </w:trPr>
        <w:tc>
          <w:tcPr>
            <w:vMerge w:val="restart"/>
            <w:vAlign w:val="center"/>
          </w:tcPr>
          <w:p w:rsidR="00000000" w:rsidDel="00000000" w:rsidP="00000000" w:rsidRDefault="00000000" w:rsidRPr="00000000" w14:paraId="000000A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Providing consultancy and technical services to develop self-resources</w:t>
            </w:r>
          </w:p>
        </w:tc>
        <w:tc>
          <w:tcPr>
            <w:vMerge w:val="restart"/>
            <w:vAlign w:val="center"/>
          </w:tcPr>
          <w:p w:rsidR="00000000" w:rsidDel="00000000" w:rsidP="00000000" w:rsidRDefault="00000000" w:rsidRPr="00000000" w14:paraId="000000B0">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Self-resources development initiative</w:t>
            </w:r>
          </w:p>
          <w:p w:rsidR="00000000" w:rsidDel="00000000" w:rsidP="00000000" w:rsidRDefault="00000000" w:rsidRPr="00000000" w14:paraId="000000B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(I11)</w:t>
            </w:r>
          </w:p>
        </w:tc>
        <w:tc>
          <w:tcPr>
            <w:vAlign w:val="center"/>
          </w:tcPr>
          <w:p w:rsidR="00000000" w:rsidDel="00000000" w:rsidP="00000000" w:rsidRDefault="00000000" w:rsidRPr="00000000" w14:paraId="000000B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Building a directory of advisory and technical services for the Deanship</w:t>
            </w:r>
          </w:p>
        </w:tc>
      </w:tr>
      <w:tr>
        <w:trPr>
          <w:cantSplit w:val="0"/>
          <w:tblHeader w:val="0"/>
        </w:trPr>
        <w:tc>
          <w:tcPr>
            <w:vMerge w:val="continue"/>
            <w:vAlign w:val="center"/>
          </w:tcPr>
          <w:p w:rsidR="00000000" w:rsidDel="00000000" w:rsidP="00000000" w:rsidRDefault="00000000" w:rsidRPr="00000000" w14:paraId="000000B3">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B4">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B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Communication with clients</w:t>
            </w:r>
          </w:p>
        </w:tc>
      </w:tr>
    </w:tbl>
    <w:p w:rsidR="00000000" w:rsidDel="00000000" w:rsidP="00000000" w:rsidRDefault="00000000" w:rsidRPr="00000000" w14:paraId="000000B6">
      <w:pPr>
        <w:pStyle w:val="Heading2"/>
        <w:tabs>
          <w:tab w:val="left" w:pos="454"/>
        </w:tabs>
        <w:spacing w:after="60" w:before="120" w:line="240" w:lineRule="auto"/>
        <w:jc w:val="both"/>
        <w:rPr>
          <w:rFonts w:ascii="Times New Roman" w:cs="Times New Roman" w:eastAsia="Times New Roman" w:hAnsi="Times New Roman"/>
        </w:rPr>
      </w:pPr>
      <w:bookmarkStart w:colFirst="0" w:colLast="0" w:name="_vycf7epfl1j4" w:id="24"/>
      <w:bookmarkEnd w:id="24"/>
      <w:r w:rsidDel="00000000" w:rsidR="00000000" w:rsidRPr="00000000">
        <w:rPr>
          <w:rtl w:val="0"/>
        </w:rPr>
      </w:r>
    </w:p>
    <w:p w:rsidR="00000000" w:rsidDel="00000000" w:rsidP="00000000" w:rsidRDefault="00000000" w:rsidRPr="00000000" w14:paraId="000000B7">
      <w:pPr>
        <w:pStyle w:val="Heading2"/>
        <w:tabs>
          <w:tab w:val="left" w:pos="454"/>
        </w:tabs>
        <w:spacing w:after="60" w:before="120" w:line="240" w:lineRule="auto"/>
        <w:jc w:val="both"/>
        <w:rPr>
          <w:rFonts w:ascii="Times New Roman" w:cs="Times New Roman" w:eastAsia="Times New Roman" w:hAnsi="Times New Roman"/>
        </w:rPr>
      </w:pPr>
      <w:bookmarkStart w:colFirst="0" w:colLast="0" w:name="_7njx7xk1a3th" w:id="25"/>
      <w:bookmarkEnd w:id="25"/>
      <w:r w:rsidDel="00000000" w:rsidR="00000000" w:rsidRPr="00000000">
        <w:rPr>
          <w:rFonts w:ascii="Times New Roman" w:cs="Times New Roman" w:eastAsia="Times New Roman" w:hAnsi="Times New Roman"/>
          <w:rtl w:val="0"/>
        </w:rPr>
        <w:t xml:space="preserve">4.3.2.</w:t>
        <w:tab/>
      </w:r>
      <w:r w:rsidDel="00000000" w:rsidR="00000000" w:rsidRPr="00000000">
        <w:rPr>
          <w:rFonts w:ascii="Times New Roman" w:cs="Times New Roman" w:eastAsia="Times New Roman" w:hAnsi="Times New Roman"/>
          <w:rtl w:val="0"/>
        </w:rPr>
        <w:t xml:space="preserve">At the Level of the Internal Operations</w:t>
      </w: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proposed initiatives and projects seek to implement the goals of developing the processes and environment for providing technology services to its users.</w:t>
      </w:r>
    </w:p>
    <w:p w:rsidR="00000000" w:rsidDel="00000000" w:rsidP="00000000" w:rsidRDefault="00000000" w:rsidRPr="00000000" w14:paraId="000000B9">
      <w:pPr>
        <w:spacing w:before="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3. </w:t>
      </w:r>
      <w:r w:rsidDel="00000000" w:rsidR="00000000" w:rsidRPr="00000000">
        <w:rPr>
          <w:rFonts w:ascii="Times New Roman" w:cs="Times New Roman" w:eastAsia="Times New Roman" w:hAnsi="Times New Roman"/>
          <w:rtl w:val="0"/>
        </w:rPr>
        <w:t xml:space="preserve">Projects seek to implement the goals of developing the processes and environment for providing technology services to its users</w:t>
      </w:r>
      <w:r w:rsidDel="00000000" w:rsidR="00000000" w:rsidRPr="00000000">
        <w:rPr>
          <w:rtl w:val="0"/>
        </w:rPr>
      </w:r>
    </w:p>
    <w:tbl>
      <w:tblPr>
        <w:tblStyle w:val="Table3"/>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shd w:fill="00b050" w:val="clear"/>
            <w:vAlign w:val="center"/>
          </w:tcPr>
          <w:p w:rsidR="00000000" w:rsidDel="00000000" w:rsidP="00000000" w:rsidRDefault="00000000" w:rsidRPr="00000000" w14:paraId="000000B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strategic goal</w:t>
            </w:r>
          </w:p>
        </w:tc>
        <w:tc>
          <w:tcPr>
            <w:shd w:fill="00b050" w:val="clear"/>
            <w:vAlign w:val="center"/>
          </w:tcPr>
          <w:p w:rsidR="00000000" w:rsidDel="00000000" w:rsidP="00000000" w:rsidRDefault="00000000" w:rsidRPr="00000000" w14:paraId="000000B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initiative</w:t>
            </w:r>
          </w:p>
        </w:tc>
        <w:tc>
          <w:tcPr>
            <w:shd w:fill="00b050" w:val="clear"/>
            <w:vAlign w:val="center"/>
          </w:tcPr>
          <w:p w:rsidR="00000000" w:rsidDel="00000000" w:rsidP="00000000" w:rsidRDefault="00000000" w:rsidRPr="00000000" w14:paraId="000000B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project</w:t>
            </w:r>
          </w:p>
        </w:tc>
      </w:tr>
      <w:tr>
        <w:trPr>
          <w:cantSplit w:val="0"/>
          <w:trHeight w:val="578" w:hRule="atLeast"/>
          <w:tblHeader w:val="0"/>
        </w:trPr>
        <w:tc>
          <w:tcPr>
            <w:vAlign w:val="center"/>
          </w:tcPr>
          <w:p w:rsidR="00000000" w:rsidDel="00000000" w:rsidP="00000000" w:rsidRDefault="00000000" w:rsidRPr="00000000" w14:paraId="000000B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Efficient project management and outsourcing</w:t>
            </w:r>
          </w:p>
        </w:tc>
        <w:tc>
          <w:tcPr>
            <w:vAlign w:val="center"/>
          </w:tcPr>
          <w:p w:rsidR="00000000" w:rsidDel="00000000" w:rsidP="00000000" w:rsidRDefault="00000000" w:rsidRPr="00000000" w14:paraId="000000B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Project Management Initiative (I15)</w:t>
            </w:r>
          </w:p>
        </w:tc>
        <w:tc>
          <w:tcPr>
            <w:vAlign w:val="center"/>
          </w:tcPr>
          <w:p w:rsidR="00000000" w:rsidDel="00000000" w:rsidP="00000000" w:rsidRDefault="00000000" w:rsidRPr="00000000" w14:paraId="000000B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Project management office creation project</w:t>
            </w:r>
          </w:p>
        </w:tc>
      </w:tr>
      <w:tr>
        <w:trPr>
          <w:cantSplit w:val="0"/>
          <w:tblHeader w:val="0"/>
        </w:trPr>
        <w:tc>
          <w:tcPr>
            <w:vMerge w:val="restart"/>
            <w:vAlign w:val="center"/>
          </w:tcPr>
          <w:p w:rsidR="00000000" w:rsidDel="00000000" w:rsidP="00000000" w:rsidRDefault="00000000" w:rsidRPr="00000000" w14:paraId="000000C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Adopting standard methodologies for technical support and application development</w:t>
            </w:r>
          </w:p>
        </w:tc>
        <w:tc>
          <w:tcPr>
            <w:vMerge w:val="restart"/>
            <w:vAlign w:val="center"/>
          </w:tcPr>
          <w:p w:rsidR="00000000" w:rsidDel="00000000" w:rsidP="00000000" w:rsidRDefault="00000000" w:rsidRPr="00000000" w14:paraId="000000C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Software development environment improvement initiative</w:t>
            </w:r>
          </w:p>
          <w:p w:rsidR="00000000" w:rsidDel="00000000" w:rsidP="00000000" w:rsidRDefault="00000000" w:rsidRPr="00000000" w14:paraId="000000C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14)</w:t>
            </w:r>
          </w:p>
        </w:tc>
        <w:tc>
          <w:tcPr>
            <w:vAlign w:val="center"/>
          </w:tcPr>
          <w:p w:rsidR="00000000" w:rsidDel="00000000" w:rsidP="00000000" w:rsidRDefault="00000000" w:rsidRPr="00000000" w14:paraId="000000C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Software Development Operations, Policies, and Methodologies Manual</w:t>
            </w:r>
          </w:p>
        </w:tc>
      </w:tr>
      <w:tr>
        <w:trPr>
          <w:cantSplit w:val="0"/>
          <w:tblHeader w:val="0"/>
        </w:trPr>
        <w:tc>
          <w:tcPr>
            <w:vMerge w:val="continue"/>
            <w:vAlign w:val="center"/>
          </w:tcPr>
          <w:p w:rsidR="00000000" w:rsidDel="00000000" w:rsidP="00000000" w:rsidRDefault="00000000" w:rsidRPr="00000000" w14:paraId="000000C4">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C5">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C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Prepare tools and software development environment</w:t>
            </w:r>
          </w:p>
        </w:tc>
      </w:tr>
      <w:tr>
        <w:trPr>
          <w:cantSplit w:val="0"/>
          <w:tblHeader w:val="0"/>
        </w:trPr>
        <w:tc>
          <w:tcPr>
            <w:vMerge w:val="continue"/>
            <w:vAlign w:val="center"/>
          </w:tcPr>
          <w:p w:rsidR="00000000" w:rsidDel="00000000" w:rsidP="00000000" w:rsidRDefault="00000000" w:rsidRPr="00000000" w14:paraId="000000C7">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C8">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C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Prepare manuals for electronic systems</w:t>
            </w:r>
          </w:p>
        </w:tc>
      </w:tr>
      <w:tr>
        <w:trPr>
          <w:cantSplit w:val="0"/>
          <w:tblHeader w:val="0"/>
        </w:trPr>
        <w:tc>
          <w:tcPr>
            <w:vMerge w:val="continue"/>
            <w:vAlign w:val="center"/>
          </w:tcPr>
          <w:p w:rsidR="00000000" w:rsidDel="00000000" w:rsidP="00000000" w:rsidRDefault="00000000" w:rsidRPr="00000000" w14:paraId="000000CA">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CB">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C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the systems users </w:t>
            </w:r>
          </w:p>
        </w:tc>
      </w:tr>
      <w:tr>
        <w:trPr>
          <w:cantSplit w:val="0"/>
          <w:tblHeader w:val="0"/>
        </w:trPr>
        <w:tc>
          <w:tcPr>
            <w:vMerge w:val="continue"/>
            <w:vAlign w:val="center"/>
          </w:tcPr>
          <w:p w:rsidR="00000000" w:rsidDel="00000000" w:rsidP="00000000" w:rsidRDefault="00000000" w:rsidRPr="00000000" w14:paraId="000000CD">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restart"/>
            <w:vAlign w:val="center"/>
          </w:tcPr>
          <w:p w:rsidR="00000000" w:rsidDel="00000000" w:rsidP="00000000" w:rsidRDefault="00000000" w:rsidRPr="00000000" w14:paraId="000000C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Technology Services Development Initiative (ITIL)</w:t>
            </w:r>
          </w:p>
          <w:p w:rsidR="00000000" w:rsidDel="00000000" w:rsidP="00000000" w:rsidRDefault="00000000" w:rsidRPr="00000000" w14:paraId="000000CF">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(I13)</w:t>
            </w:r>
          </w:p>
        </w:tc>
        <w:tc>
          <w:tcPr>
            <w:vAlign w:val="center"/>
          </w:tcPr>
          <w:p w:rsidR="00000000" w:rsidDel="00000000" w:rsidP="00000000" w:rsidRDefault="00000000" w:rsidRPr="00000000" w14:paraId="000000D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Help Desk system</w:t>
            </w:r>
          </w:p>
        </w:tc>
      </w:tr>
      <w:tr>
        <w:trPr>
          <w:cantSplit w:val="0"/>
          <w:tblHeader w:val="0"/>
        </w:trPr>
        <w:tc>
          <w:tcPr>
            <w:vMerge w:val="continue"/>
            <w:vAlign w:val="center"/>
          </w:tcPr>
          <w:p w:rsidR="00000000" w:rsidDel="00000000" w:rsidP="00000000" w:rsidRDefault="00000000" w:rsidRPr="00000000" w14:paraId="000000D1">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D2">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D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Technical Asset Management</w:t>
            </w:r>
          </w:p>
        </w:tc>
      </w:tr>
      <w:tr>
        <w:trPr>
          <w:cantSplit w:val="0"/>
          <w:tblHeader w:val="0"/>
        </w:trPr>
        <w:tc>
          <w:tcPr>
            <w:vMerge w:val="continue"/>
            <w:vAlign w:val="center"/>
          </w:tcPr>
          <w:p w:rsidR="00000000" w:rsidDel="00000000" w:rsidP="00000000" w:rsidRDefault="00000000" w:rsidRPr="00000000" w14:paraId="000000D4">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D5">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D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second stage of the archiving system</w:t>
            </w:r>
          </w:p>
        </w:tc>
      </w:tr>
      <w:tr>
        <w:trPr>
          <w:cantSplit w:val="0"/>
          <w:tblHeader w:val="0"/>
        </w:trPr>
        <w:tc>
          <w:tcPr>
            <w:vMerge w:val="restart"/>
            <w:vAlign w:val="center"/>
          </w:tcPr>
          <w:p w:rsidR="00000000" w:rsidDel="00000000" w:rsidP="00000000" w:rsidRDefault="00000000" w:rsidRPr="00000000" w14:paraId="000000D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Building an integrated technical and institutional architecture</w:t>
            </w:r>
          </w:p>
        </w:tc>
        <w:tc>
          <w:tcPr>
            <w:vMerge w:val="restart"/>
            <w:vAlign w:val="center"/>
          </w:tcPr>
          <w:p w:rsidR="00000000" w:rsidDel="00000000" w:rsidP="00000000" w:rsidRDefault="00000000" w:rsidRPr="00000000" w14:paraId="000000D8">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Institutional Architectural Initiative</w:t>
            </w:r>
          </w:p>
          <w:p w:rsidR="00000000" w:rsidDel="00000000" w:rsidP="00000000" w:rsidRDefault="00000000" w:rsidRPr="00000000" w14:paraId="000000D9">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(I9)</w:t>
            </w:r>
          </w:p>
        </w:tc>
        <w:tc>
          <w:tcPr>
            <w:vAlign w:val="center"/>
          </w:tcPr>
          <w:p w:rsidR="00000000" w:rsidDel="00000000" w:rsidP="00000000" w:rsidRDefault="00000000" w:rsidRPr="00000000" w14:paraId="000000D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Choosing the right frame, components, and training</w:t>
            </w:r>
          </w:p>
        </w:tc>
      </w:tr>
      <w:tr>
        <w:trPr>
          <w:cantSplit w:val="0"/>
          <w:tblHeader w:val="0"/>
        </w:trPr>
        <w:tc>
          <w:tcPr>
            <w:vMerge w:val="continue"/>
            <w:vAlign w:val="center"/>
          </w:tcPr>
          <w:p w:rsidR="00000000" w:rsidDel="00000000" w:rsidP="00000000" w:rsidRDefault="00000000" w:rsidRPr="00000000" w14:paraId="000000DB">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DC">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D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Building services, operations, and structuring architecture</w:t>
            </w:r>
          </w:p>
        </w:tc>
      </w:tr>
      <w:tr>
        <w:trPr>
          <w:cantSplit w:val="0"/>
          <w:tblHeader w:val="0"/>
        </w:trPr>
        <w:tc>
          <w:tcPr>
            <w:vMerge w:val="continue"/>
            <w:vAlign w:val="center"/>
          </w:tcPr>
          <w:p w:rsidR="00000000" w:rsidDel="00000000" w:rsidP="00000000" w:rsidRDefault="00000000" w:rsidRPr="00000000" w14:paraId="000000DE">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DF">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E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Building systems and processes architecture</w:t>
            </w:r>
          </w:p>
        </w:tc>
      </w:tr>
      <w:tr>
        <w:trPr>
          <w:cantSplit w:val="0"/>
          <w:tblHeader w:val="0"/>
        </w:trPr>
        <w:tc>
          <w:tcPr>
            <w:vMerge w:val="restart"/>
            <w:vAlign w:val="center"/>
          </w:tcPr>
          <w:p w:rsidR="00000000" w:rsidDel="00000000" w:rsidP="00000000" w:rsidRDefault="00000000" w:rsidRPr="00000000" w14:paraId="000000E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Enhance technical support and effective communication with beneficiaries and partners</w:t>
            </w:r>
          </w:p>
        </w:tc>
        <w:tc>
          <w:tcPr>
            <w:vMerge w:val="restart"/>
            <w:vAlign w:val="center"/>
          </w:tcPr>
          <w:p w:rsidR="00000000" w:rsidDel="00000000" w:rsidP="00000000" w:rsidRDefault="00000000" w:rsidRPr="00000000" w14:paraId="000000E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Knights of Technology Initiative (I10)</w:t>
            </w:r>
          </w:p>
        </w:tc>
        <w:tc>
          <w:tcPr>
            <w:vAlign w:val="center"/>
          </w:tcPr>
          <w:p w:rsidR="00000000" w:rsidDel="00000000" w:rsidP="00000000" w:rsidRDefault="00000000" w:rsidRPr="00000000" w14:paraId="000000E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major systems users</w:t>
            </w:r>
          </w:p>
        </w:tc>
      </w:tr>
      <w:tr>
        <w:trPr>
          <w:cantSplit w:val="0"/>
          <w:tblHeader w:val="0"/>
        </w:trPr>
        <w:tc>
          <w:tcPr>
            <w:vMerge w:val="continue"/>
            <w:vAlign w:val="center"/>
          </w:tcPr>
          <w:p w:rsidR="00000000" w:rsidDel="00000000" w:rsidP="00000000" w:rsidRDefault="00000000" w:rsidRPr="00000000" w14:paraId="000000E4">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E5">
            <w:pPr>
              <w:widowControl w:val="0"/>
              <w:spacing w:after="0"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E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Strengthening the role of sector coordinators</w:t>
            </w:r>
          </w:p>
        </w:tc>
      </w:tr>
    </w:tbl>
    <w:p w:rsidR="00000000" w:rsidDel="00000000" w:rsidP="00000000" w:rsidRDefault="00000000" w:rsidRPr="00000000" w14:paraId="000000E7">
      <w:pPr>
        <w:pStyle w:val="Heading1"/>
        <w:keepLines w:val="1"/>
        <w:widowControl w:val="1"/>
        <w:numPr>
          <w:ilvl w:val="0"/>
          <w:numId w:val="8"/>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rPr>
          <w:rFonts w:ascii="Times New Roman" w:cs="Times New Roman" w:eastAsia="Times New Roman" w:hAnsi="Times New Roman"/>
          <w:b w:val="1"/>
        </w:rPr>
      </w:pPr>
      <w:bookmarkStart w:colFirst="0" w:colLast="0" w:name="_v9xvuemn58s2" w:id="26"/>
      <w:bookmarkEnd w:id="26"/>
      <w:r w:rsidDel="00000000" w:rsidR="00000000" w:rsidRPr="00000000">
        <w:rPr>
          <w:sz w:val="22"/>
          <w:szCs w:val="22"/>
          <w:rtl w:val="0"/>
        </w:rPr>
        <w:t xml:space="preserve">Conclusion</w:t>
      </w:r>
    </w:p>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KAU's advanced technology environment is of strategic importance for its academic mission since information technology is of an indispensable presence and an essential factor for world-class research, educational practices and essential operations to our globally integrated university community. In this planning effort, university-wide working groups are tasked with making recommendations on seven technology-related topics that are central to supporting KAU's mission and strategic priorities: Living and Learning, Research Computing Support, Communications and Infrastructure, Administrative and Business Systems, Information Technology Security and Support Models, Procurement and Licensing Online, Web and Mobile Presence. Based on the analysis of our current environment conducted by these working groups and by observing closely the goals outlined in the KAU Strategic Plan, we have identified three main goals for this new IT planning cycle: </w:t>
      </w:r>
      <w:r w:rsidDel="00000000" w:rsidR="00000000" w:rsidRPr="00000000">
        <w:rPr>
          <w:rFonts w:ascii="Times New Roman" w:cs="Times New Roman" w:eastAsia="Times New Roman" w:hAnsi="Times New Roman"/>
          <w:b w:val="1"/>
          <w:rtl w:val="0"/>
        </w:rPr>
        <w:t xml:space="preserve">Goal 1: </w:t>
      </w:r>
      <w:r w:rsidDel="00000000" w:rsidR="00000000" w:rsidRPr="00000000">
        <w:rPr>
          <w:rFonts w:ascii="Times New Roman" w:cs="Times New Roman" w:eastAsia="Times New Roman" w:hAnsi="Times New Roman"/>
          <w:rtl w:val="0"/>
        </w:rPr>
        <w:t xml:space="preserve">Helping people use technology more effectively. </w:t>
      </w:r>
      <w:r w:rsidDel="00000000" w:rsidR="00000000" w:rsidRPr="00000000">
        <w:rPr>
          <w:rFonts w:ascii="Times New Roman" w:cs="Times New Roman" w:eastAsia="Times New Roman" w:hAnsi="Times New Roman"/>
          <w:b w:val="1"/>
          <w:rtl w:val="0"/>
        </w:rPr>
        <w:t xml:space="preserve">Goal 2</w:t>
      </w:r>
      <w:r w:rsidDel="00000000" w:rsidR="00000000" w:rsidRPr="00000000">
        <w:rPr>
          <w:rFonts w:ascii="Times New Roman" w:cs="Times New Roman" w:eastAsia="Times New Roman" w:hAnsi="Times New Roman"/>
          <w:rtl w:val="0"/>
        </w:rPr>
        <w:t xml:space="preserve">: Providing safe services and systems everywhere. </w:t>
      </w:r>
      <w:r w:rsidDel="00000000" w:rsidR="00000000" w:rsidRPr="00000000">
        <w:rPr>
          <w:rFonts w:ascii="Times New Roman" w:cs="Times New Roman" w:eastAsia="Times New Roman" w:hAnsi="Times New Roman"/>
          <w:b w:val="1"/>
          <w:rtl w:val="0"/>
        </w:rPr>
        <w:t xml:space="preserve">Goal 3</w:t>
      </w:r>
      <w:r w:rsidDel="00000000" w:rsidR="00000000" w:rsidRPr="00000000">
        <w:rPr>
          <w:rFonts w:ascii="Times New Roman" w:cs="Times New Roman" w:eastAsia="Times New Roman" w:hAnsi="Times New Roman"/>
          <w:rtl w:val="0"/>
        </w:rPr>
        <w:t xml:space="preserve">: Supporting innovation in research and education. This current plan outlines specific strategies to achieve these goals. However, the rapidly changing nature of the technology industry requires that any planning approach should include an ongoing survey of the technology environment and an ongoing course correction.</w:t>
      </w:r>
    </w:p>
    <w:p w:rsidR="00000000" w:rsidDel="00000000" w:rsidP="00000000" w:rsidRDefault="00000000" w:rsidRPr="00000000" w14:paraId="000000E9">
      <w:pPr>
        <w:pStyle w:val="Heading5"/>
        <w:pageBreakBefore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rtl w:val="0"/>
        </w:rPr>
        <w:t xml:space="preserve">References</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R. Noriega and Y. Pourrahimian, “A systematic review of artificial intelligence and data-driven approaches in strategic open-pit mine planning,” Resour. Policy, vol. 77, p. 102727, 2022, doi: https://doi.org/10.1016/j.resourpol.2022.102727.</w:t>
      </w:r>
    </w:p>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P. Ove Eikeland and J. Birger Skjærseth, “The politics of low-carbon innovation: Implementing the European Union’s strategic energy technology plan,” Energy Res. Soc. Sci., vol. 76, p. 102043, 2021, doi: https://doi.org/10.1016/j.erss.2021.102043.</w:t>
      </w:r>
    </w:p>
    <w:p w:rsidR="00000000" w:rsidDel="00000000" w:rsidP="00000000" w:rsidRDefault="00000000" w:rsidRPr="00000000" w14:paraId="000000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M. Kuller, M. Farrelly, D. R. Marthanty, A. Deletic, and P. M. Bach, “Planning support systems for strategic implementation of nature-based solutions in the global south: Current role and future potential in Indonesia,” Cities, vol. 126, p. 103693, 2022, doi: https://doi.org/10.1016/j.cities.2022.103693.</w:t>
      </w:r>
    </w:p>
    <w:p w:rsidR="00000000" w:rsidDel="00000000" w:rsidP="00000000" w:rsidRDefault="00000000" w:rsidRPr="00000000" w14:paraId="000000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J. McGrory, “Strategic information technology plan for fiscal years 2000–2005: By US Patent and Trademark Office. Washington, DC, 2000. Visited January 20, 2001. http://www.uspto.gov/web/offices/com/corpplan/,” J. Gov. Inf., vol. 28, no. 3, pp. 338–341, 2001, doi: https://doi.org/10.1016/S1352-0237(01)00303-3.</w:t>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T.-Y. Liang and C.-K. Tan, “Strategic information technology plan: A vital component in the corporate strategies of banks,” Inf. Manag., vol. 26, no. 5, pp. 265–272, 1994, doi: https://doi.org/10.1016/0378-7206(94)90065-5.</w:t>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C. Soh, B. S. Neo, and M. L. Markus, “IT2000: A critical appraisal of Singapore’s state-wide strategic planning process for information technology,” J. Strateg. Inf. Syst., vol. 2, no. 4, pp. 351–372, 1993, doi: https://doi.org/10.1016/0963-8687(93)90011-X.</w:t>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P. Gottschalk, “Descriptions of responsibility for implementation: A content analysis of strategic information systems/technology planning documents,” Technol. Forecast. Soc. Change, vol. 68, no. 2, pp. 207–221, 2001, doi: https://doi.org/10.1016/S0040-1625(00)00084-6.</w:t>
      </w:r>
    </w:p>
    <w:p w:rsidR="00000000" w:rsidDel="00000000" w:rsidP="00000000" w:rsidRDefault="00000000" w:rsidRPr="00000000" w14:paraId="000000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A. M. Westerling, V. E. Haikala, J. Simon Bell, and M. S. Airaksinen, “Logistics or patient care: Which features do independent Finnish pharmacy owners prioritize in a strategic plan for future information technology systems?,” J. Am. Pharm. Assoc., vol. 50, no. 1, pp. 24-33a, 2010, doi: https://doi.org/10.1331/JAPhA.2010.08176.</w:t>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M. Grimaldi, L. Cricelli, M. Di Giovanni, and F. Rogo, “The patent portfolio value analysis: A new framework to leverage patent information for strategic technology planning,” Technol. Forecast. Soc. Change, vol. 94, pp. 286–302, 2015, doi: https://doi.org/10.1016/j.techfore.2014.10.013.</w:t>
      </w:r>
    </w:p>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R. Santos Coelho, R. Lopes, P. S. Coelho, T. B. Ramos, and P. Antunes, “Participatory selection of indicators for water resources planning and strategic environmental assessment in Portugal,” Environ. Impact Assess. Rev., vol. 92, p. 106701, 2022, doi: https://doi.org/10.1016/j.eiar.2021.106701.</w:t>
      </w:r>
    </w:p>
    <w:p w:rsidR="00000000" w:rsidDel="00000000" w:rsidP="00000000" w:rsidRDefault="00000000" w:rsidRPr="00000000" w14:paraId="000000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Y.-H. (John) Huang, E. C. Larson, M. J. Shaw, and R. (Ram) Subramanyam, “Constructing information technology (IT) portfolios to achieve enterprise strategic goals in multi-business unit firms,” Inf. Manag., vol. 58, no. 8, p. 103525, 2021, doi: https://doi.org/10.1016/j.im.2021.103525.</w:t>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N. P. Pronk et al., “Using Systems Science for Strategic Planning of Obesity Prevention and Treatment: The Roundtable on Obesity Solutions Experience,” Curr. Probl. Cardiol., p. 101240, 2022, doi: https://doi.org/10.1016/j.cpcardiol.2022.101240.</w:t>
      </w:r>
    </w:p>
    <w:p w:rsidR="00000000" w:rsidDel="00000000" w:rsidP="00000000" w:rsidRDefault="00000000" w:rsidRPr="00000000" w14:paraId="000000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K. C. Lampropoulos, D. Tamvakis, A. Samiotakis, and A. Moropoulou, “Re-use of built environment - Strategic planning of sampling locations for the environmental impact assessment of former airports: The use-case of the former Hellenikon airport in Athens, Greece,” Dev. Built Environ., vol. 10, p. 100072, 2022, doi: https://doi.org/10.1016/j.dibe.2022.100072.</w:t>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R. Sisto, L. A. Fernández-Portillo, M. Yazdani, L. Estepa-Mohedano, and A. E. Torkayesh, “Strategic planning of rural areas: Integrating participatory backcasting and multiple criteria decision analysis tools,” Socioecon. Plann. Sci., p. 101248, 2022, doi: https://doi.org/10.1016/j.seps.2022.101248.</w:t>
      </w:r>
    </w:p>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S. Amirshenava and M. Osanloo, “Strategic planning of post-mining land uses: A semi-quantitative approach based on the SWOT analysis and IE matrix,” Resour. Policy, vol. 76, p. 102585, 2022, doi: https://doi.org/10.1016/j.resourpol.2022.102585.</w:t>
      </w:r>
    </w:p>
    <w:p w:rsidR="00000000" w:rsidDel="00000000" w:rsidP="00000000" w:rsidRDefault="00000000" w:rsidRPr="00000000" w14:paraId="000000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S. E. Bibri, “Eco-districts and data-driven smart eco-cities: Emerging approaches to strategic planning by design and spatial scaling and evaluation by technology,” Land use policy, vol. 113, p. 105830, 2022, doi: https://doi.org/10.1016/j.landusepol.2021.105830.</w:t>
      </w:r>
    </w:p>
    <w:p w:rsidR="00000000" w:rsidDel="00000000" w:rsidP="00000000" w:rsidRDefault="00000000" w:rsidRPr="00000000" w14:paraId="000000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M. J. Weston, “Strategic Planning for a Very Different Nursing Workforce,” Nurse Lead., vol. 20, no. 2, pp. 152–160, 2022, doi: https://doi.org/10.1016/j.mnl.2021.12.021.</w:t>
      </w:r>
    </w:p>
    <w:p w:rsidR="00000000" w:rsidDel="00000000" w:rsidP="00000000" w:rsidRDefault="00000000" w:rsidRPr="00000000" w14:paraId="000000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D. Owen, “Observations on strategic planning of information technology in the Indian coal mining industry,” Min. Sci. Technol., vol. 7, no. 1, pp. 63–69, 1988, doi: https://doi.org/10.1016/S0167-9031(88)90964-4.</w:t>
      </w:r>
    </w:p>
    <w:p w:rsidR="00000000" w:rsidDel="00000000" w:rsidP="00000000" w:rsidRDefault="00000000" w:rsidRPr="00000000" w14:paraId="000000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pPr>
      <w:r w:rsidDel="00000000" w:rsidR="00000000" w:rsidRPr="00000000">
        <w:rPr>
          <w:rFonts w:ascii="Times New Roman" w:cs="Times New Roman" w:eastAsia="Times New Roman" w:hAnsi="Times New Roman"/>
          <w:rtl w:val="0"/>
        </w:rPr>
        <w:t xml:space="preserve">V. Lingua and E. Caruso, “Futures Literacy as a reading key for strategic spatial planning: A community learning process for defining shared futures in the Ombrone River Agreement,” Futures, vol. 140, p. 102935, 2022, doi: https://doi.org/10.1016/j.futures.2022.102935.</w:t>
      </w:r>
    </w:p>
    <w:sectPr>
      <w:headerReference r:id="rId7" w:type="default"/>
      <w:headerReference r:id="rId8" w:type="first"/>
      <w:footerReference r:id="rId9" w:type="default"/>
      <w:footerReference r:id="rId10" w:type="first"/>
      <w:pgSz w:h="16838" w:w="11906" w:orient="portrait"/>
      <w:pgMar w:bottom="1253" w:top="907" w:left="737" w:right="79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rtl w:val="0"/>
      </w:rPr>
      <w:t xml:space="preserve">Tseng et al / IJAIM Vol. 2 No. 3 September 2022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tabs>
        <w:tab w:val="center" w:pos="4513"/>
        <w:tab w:val="right" w:pos="9026"/>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Tseng et al / IJAIM Vol. 2 No. 3 September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4"/>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0FE">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0FF">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3, September 2022, pp. 01-17</w:t>
          </w:r>
        </w:p>
        <w:p w:rsidR="00000000" w:rsidDel="00000000" w:rsidP="00000000" w:rsidRDefault="00000000" w:rsidRPr="00000000" w14:paraId="00000100">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1">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102">
          <w:pPr>
            <w:tabs>
              <w:tab w:val="center" w:pos="4513"/>
              <w:tab w:val="right" w:pos="9026"/>
            </w:tabs>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5"/>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105">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106">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3, September 2022, pp. 01-17</w:t>
          </w:r>
        </w:p>
        <w:p w:rsidR="00000000" w:rsidDel="00000000" w:rsidP="00000000" w:rsidRDefault="00000000" w:rsidRPr="00000000" w14:paraId="00000107">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8">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109">
          <w:pPr>
            <w:tabs>
              <w:tab w:val="center" w:pos="4513"/>
              <w:tab w:val="right" w:pos="9026"/>
            </w:tabs>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rFonts w:ascii="Times New Roman" w:cs="Times New Roman" w:eastAsia="Times New Roman" w:hAnsi="Times New Roman"/>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e75b5"/>
      <w:sz w:val="26"/>
      <w:szCs w:val="26"/>
    </w:rPr>
  </w:style>
  <w:style w:type="paragraph" w:styleId="Heading3">
    <w:name w:val="heading 3"/>
    <w:basedOn w:val="Normal"/>
    <w:next w:val="Normal"/>
    <w:pPr>
      <w:pageBreakBefore w:val="0"/>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pageBreakBefore w:val="0"/>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pageBreakBefore w:val="0"/>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